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4935D" w14:textId="77777777" w:rsidR="00AA7D49" w:rsidRPr="00192BB4" w:rsidRDefault="00AA7D49" w:rsidP="00AA7D49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4F864B73" w14:textId="0E2C0907" w:rsidR="00AA7D49" w:rsidRPr="00AA7D49" w:rsidRDefault="00AA7D49" w:rsidP="00AA7D4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2"/>
        </w:rPr>
      </w:pPr>
      <w:r w:rsidRPr="00AA7D49">
        <w:rPr>
          <w:rFonts w:ascii="Arial" w:hAnsi="Arial" w:cs="Arial"/>
          <w:b/>
          <w:color w:val="000000"/>
          <w:sz w:val="44"/>
          <w:szCs w:val="32"/>
        </w:rPr>
        <w:t>PO DÁLNICI DO PRAVĚKU</w:t>
      </w:r>
    </w:p>
    <w:p w14:paraId="568A628B" w14:textId="3D86F968" w:rsidR="00AA7D49" w:rsidRPr="00AA7D49" w:rsidRDefault="00AA7D49" w:rsidP="00AA7D4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8"/>
          <w:szCs w:val="20"/>
        </w:rPr>
      </w:pPr>
      <w:r w:rsidRPr="00AA7D49">
        <w:rPr>
          <w:rFonts w:ascii="Arial" w:hAnsi="Arial" w:cs="Arial"/>
          <w:b/>
          <w:color w:val="000000"/>
          <w:sz w:val="28"/>
          <w:szCs w:val="20"/>
        </w:rPr>
        <w:t>Severní Prácheňsko jako komunikační koridor v průběhu tisíciletí</w:t>
      </w:r>
    </w:p>
    <w:p w14:paraId="6E094D7F" w14:textId="24663E75" w:rsidR="00AA7D49" w:rsidRPr="00AA7D49" w:rsidRDefault="00AA7D49" w:rsidP="00AA7D4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AA7D49">
        <w:rPr>
          <w:rFonts w:ascii="Arial" w:hAnsi="Arial" w:cs="Arial"/>
          <w:b/>
          <w:color w:val="000000"/>
          <w:sz w:val="28"/>
          <w:szCs w:val="28"/>
        </w:rPr>
        <w:t>2</w:t>
      </w:r>
      <w:r>
        <w:rPr>
          <w:rFonts w:ascii="Arial" w:hAnsi="Arial" w:cs="Arial"/>
          <w:b/>
          <w:color w:val="000000"/>
          <w:sz w:val="28"/>
          <w:szCs w:val="28"/>
        </w:rPr>
        <w:t>9</w:t>
      </w:r>
      <w:r w:rsidRPr="00AA7D49">
        <w:rPr>
          <w:rFonts w:ascii="Arial" w:hAnsi="Arial" w:cs="Arial"/>
          <w:b/>
          <w:color w:val="000000"/>
          <w:sz w:val="28"/>
          <w:szCs w:val="28"/>
        </w:rPr>
        <w:t>. 4.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AA7D49">
        <w:rPr>
          <w:rFonts w:ascii="Arial" w:hAnsi="Arial" w:cs="Arial"/>
          <w:b/>
          <w:color w:val="000000"/>
          <w:sz w:val="28"/>
          <w:szCs w:val="28"/>
        </w:rPr>
        <w:t>– 2</w:t>
      </w:r>
      <w:r>
        <w:rPr>
          <w:rFonts w:ascii="Arial" w:hAnsi="Arial" w:cs="Arial"/>
          <w:b/>
          <w:color w:val="000000"/>
          <w:sz w:val="28"/>
          <w:szCs w:val="28"/>
        </w:rPr>
        <w:t>0</w:t>
      </w:r>
      <w:r w:rsidRPr="00AA7D49">
        <w:rPr>
          <w:rFonts w:ascii="Arial" w:hAnsi="Arial" w:cs="Arial"/>
          <w:b/>
          <w:color w:val="000000"/>
          <w:sz w:val="28"/>
          <w:szCs w:val="28"/>
        </w:rPr>
        <w:t xml:space="preserve">. </w:t>
      </w:r>
      <w:r>
        <w:rPr>
          <w:rFonts w:ascii="Arial" w:hAnsi="Arial" w:cs="Arial"/>
          <w:b/>
          <w:color w:val="000000"/>
          <w:sz w:val="28"/>
          <w:szCs w:val="28"/>
        </w:rPr>
        <w:t>9</w:t>
      </w:r>
      <w:r w:rsidRPr="00AA7D49">
        <w:rPr>
          <w:rFonts w:ascii="Arial" w:hAnsi="Arial" w:cs="Arial"/>
          <w:b/>
          <w:color w:val="000000"/>
          <w:sz w:val="28"/>
          <w:szCs w:val="28"/>
        </w:rPr>
        <w:t>. 202</w:t>
      </w:r>
      <w:r>
        <w:rPr>
          <w:rFonts w:ascii="Arial" w:hAnsi="Arial" w:cs="Arial"/>
          <w:b/>
          <w:color w:val="000000"/>
          <w:sz w:val="28"/>
          <w:szCs w:val="28"/>
        </w:rPr>
        <w:t>6</w:t>
      </w:r>
    </w:p>
    <w:p w14:paraId="75EEEF5A" w14:textId="77777777" w:rsidR="00AA7D49" w:rsidRPr="00E24AD1" w:rsidRDefault="00AA7D49" w:rsidP="00AA7D4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14:paraId="6A615763" w14:textId="77777777" w:rsidR="00AA7D49" w:rsidRPr="00961C9F" w:rsidRDefault="00AA7D49" w:rsidP="00AA7D49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3ACC8493" w14:textId="36D0BE45" w:rsidR="00AA7D49" w:rsidRDefault="00AA7D49" w:rsidP="00AA7D49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A7D49">
        <w:rPr>
          <w:rFonts w:ascii="Arial" w:hAnsi="Arial" w:cs="Arial"/>
          <w:b/>
          <w:sz w:val="20"/>
          <w:szCs w:val="20"/>
        </w:rPr>
        <w:t>Jak vypadaly jižní Čechy před tisíci lety? A kudy vedly dávné cesty, po kterých putovali lidé, zboží i nápady? Navštivte výstavu „Po dálnici do pravěku“, která vás zavede do krajiny severního Písecka.</w:t>
      </w:r>
    </w:p>
    <w:p w14:paraId="13528FE5" w14:textId="44BCBDDD" w:rsidR="00AA7D49" w:rsidRPr="00AA7D49" w:rsidRDefault="00AA7D49" w:rsidP="00AA7D49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A7D49">
        <w:rPr>
          <w:rFonts w:ascii="Arial" w:hAnsi="Arial" w:cs="Arial"/>
          <w:bCs/>
          <w:sz w:val="20"/>
          <w:szCs w:val="20"/>
        </w:rPr>
        <w:t xml:space="preserve">Těšit se můžete na unikátní archeologické nálezy, z nichž mnohé jsou vystaveny vůbec poprvé. Výstava navazuje na dosud největší výzkum v regionu, který probíhal při stavbě dálnice D4 mezi lety </w:t>
      </w:r>
      <w:proofErr w:type="gramStart"/>
      <w:r w:rsidRPr="00AA7D49">
        <w:rPr>
          <w:rFonts w:ascii="Arial" w:hAnsi="Arial" w:cs="Arial"/>
          <w:bCs/>
          <w:sz w:val="20"/>
          <w:szCs w:val="20"/>
        </w:rPr>
        <w:t>2021 – 2023</w:t>
      </w:r>
      <w:proofErr w:type="gramEnd"/>
      <w:r w:rsidRPr="00AA7D49">
        <w:rPr>
          <w:rFonts w:ascii="Arial" w:hAnsi="Arial" w:cs="Arial"/>
          <w:bCs/>
          <w:sz w:val="20"/>
          <w:szCs w:val="20"/>
        </w:rPr>
        <w:t>. Zažijete cestu časem a objevíte, že i zdánlivě zapomenuté kouty mohou vyprávět fascinující příběhy dávných civilizací.</w:t>
      </w:r>
    </w:p>
    <w:p w14:paraId="4CAD8B07" w14:textId="6166EDC6" w:rsidR="00AA7D49" w:rsidRDefault="00AA7D49" w:rsidP="00AA7D49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A7D49">
        <w:rPr>
          <w:rFonts w:ascii="Arial" w:hAnsi="Arial" w:cs="Arial"/>
          <w:bCs/>
          <w:sz w:val="20"/>
          <w:szCs w:val="20"/>
        </w:rPr>
        <w:t xml:space="preserve">Archeologický výzkum, který provedlo Jihočeské muzeum v Českých Budějovicích, financovala společnost EUROVIA CZ </w:t>
      </w:r>
      <w:proofErr w:type="gramStart"/>
      <w:r w:rsidRPr="00AA7D49">
        <w:rPr>
          <w:rFonts w:ascii="Arial" w:hAnsi="Arial" w:cs="Arial"/>
          <w:bCs/>
          <w:sz w:val="20"/>
          <w:szCs w:val="20"/>
        </w:rPr>
        <w:t>a.s..</w:t>
      </w:r>
      <w:proofErr w:type="gramEnd"/>
      <w:r w:rsidRPr="00AA7D49">
        <w:rPr>
          <w:rFonts w:ascii="Arial" w:hAnsi="Arial" w:cs="Arial"/>
          <w:bCs/>
          <w:sz w:val="20"/>
          <w:szCs w:val="20"/>
        </w:rPr>
        <w:t xml:space="preserve"> Projekt je realizován pod záštitou a za finanční podpory Ministerstva kultury.</w:t>
      </w:r>
    </w:p>
    <w:p w14:paraId="21454F2D" w14:textId="0D7D2867" w:rsidR="00AA7D49" w:rsidRDefault="00AA7D49" w:rsidP="00AA7D49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A7D49">
        <w:rPr>
          <w:rFonts w:ascii="Arial" w:hAnsi="Arial" w:cs="Arial"/>
          <w:bCs/>
          <w:sz w:val="20"/>
          <w:szCs w:val="20"/>
        </w:rPr>
        <w:t>Cílem výstavy Po dálnici do pravěku – Severní Prácheňsko jako komunikační koridor v průběhu tisíciletí je ukázat dlouhý a složitý vývoj kulturní krajiny v severozápadní části jižních Čech, prostřednictvím archeologických nálezů a výstupů několika desetiletí intenzivních výzkumů. Krajinu severního Písecka je možné pro určitá období považovat za periférii, v jiných epochách (zejména v době železné) ovšem zdejší osídlení tvořilo součást stabilně osídlené oikumeny.</w:t>
      </w:r>
    </w:p>
    <w:p w14:paraId="77FD31A0" w14:textId="10C6AF29" w:rsidR="00AA7D49" w:rsidRPr="00AA7D49" w:rsidRDefault="00AA7D49" w:rsidP="00AA7D49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A7D49">
        <w:rPr>
          <w:rFonts w:ascii="Arial" w:hAnsi="Arial" w:cs="Arial"/>
          <w:bCs/>
          <w:sz w:val="20"/>
          <w:szCs w:val="20"/>
        </w:rPr>
        <w:t>"</w:t>
      </w:r>
      <w:r w:rsidRPr="00AA7D49">
        <w:rPr>
          <w:rFonts w:ascii="Arial" w:hAnsi="Arial" w:cs="Arial"/>
          <w:bCs/>
          <w:i/>
          <w:iCs/>
          <w:sz w:val="20"/>
          <w:szCs w:val="20"/>
        </w:rPr>
        <w:t>Zásadní je pak napojení místního osídlení na předpokládané komunikační trasy, které do místní krajiny přinášely jak nové suroviny, výrobky a produkty, tak i kulturní a technologické inovace, nové myšlenky a v neposlední řadě i nové lidi. Na příkladu této zdánlivě periferní krajiny bude návštěvník seznámen s novými nálezy, které přinášejí celou řadu nových impulsů pro bližší poznání světa našich předků</w:t>
      </w:r>
      <w:r w:rsidRPr="00AA7D49">
        <w:rPr>
          <w:rFonts w:ascii="Arial" w:hAnsi="Arial" w:cs="Arial"/>
          <w:bCs/>
          <w:sz w:val="20"/>
          <w:szCs w:val="20"/>
        </w:rPr>
        <w:t>," přibližuje garant výstavy a archeolog Jihočeského muzea Ondřej Chvojka.</w:t>
      </w:r>
    </w:p>
    <w:p w14:paraId="44C00310" w14:textId="77777777" w:rsidR="00AA7D49" w:rsidRDefault="00AA7D49" w:rsidP="00AA7D4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306CEF2" w14:textId="77777777" w:rsidR="00AA7D49" w:rsidRDefault="00AA7D49" w:rsidP="00AA7D4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31C801BD" w14:textId="5A8A0A14" w:rsidR="00AA7D49" w:rsidRPr="00AA7D49" w:rsidRDefault="00AA7D49" w:rsidP="00AA7D49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AA7D49">
        <w:rPr>
          <w:rFonts w:ascii="Arial" w:hAnsi="Arial" w:cs="Arial"/>
          <w:sz w:val="20"/>
          <w:szCs w:val="20"/>
          <w:u w:val="single"/>
        </w:rPr>
        <w:t>doc. Mgr. Ondřej Chvojka, Ph.D.</w:t>
      </w:r>
      <w:r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 w:rsidRPr="00AA7D49">
        <w:rPr>
          <w:rFonts w:ascii="Arial" w:hAnsi="Arial" w:cs="Arial"/>
          <w:sz w:val="20"/>
          <w:szCs w:val="20"/>
        </w:rPr>
        <w:t>rcheolog</w:t>
      </w:r>
      <w:r>
        <w:rPr>
          <w:rFonts w:ascii="Arial" w:hAnsi="Arial" w:cs="Arial"/>
          <w:sz w:val="20"/>
          <w:szCs w:val="20"/>
        </w:rPr>
        <w:t xml:space="preserve"> Jihočeského muzea, autor a garant výstavy | tel.: </w:t>
      </w:r>
      <w:r w:rsidRPr="00AA7D49">
        <w:rPr>
          <w:rFonts w:ascii="Arial" w:hAnsi="Arial" w:cs="Arial"/>
          <w:sz w:val="20"/>
          <w:szCs w:val="20"/>
        </w:rPr>
        <w:t>391 001</w:t>
      </w:r>
      <w:r>
        <w:rPr>
          <w:rFonts w:ascii="Arial" w:hAnsi="Arial" w:cs="Arial"/>
          <w:sz w:val="20"/>
          <w:szCs w:val="20"/>
        </w:rPr>
        <w:t> </w:t>
      </w:r>
      <w:r w:rsidRPr="00AA7D49">
        <w:rPr>
          <w:rFonts w:ascii="Arial" w:hAnsi="Arial" w:cs="Arial"/>
          <w:sz w:val="20"/>
          <w:szCs w:val="20"/>
        </w:rPr>
        <w:t>542</w:t>
      </w:r>
      <w:r>
        <w:rPr>
          <w:rFonts w:ascii="Arial" w:hAnsi="Arial" w:cs="Arial"/>
          <w:sz w:val="20"/>
          <w:szCs w:val="20"/>
        </w:rPr>
        <w:t xml:space="preserve"> | e-mail: </w:t>
      </w:r>
      <w:hyperlink r:id="rId7" w:history="1">
        <w:r w:rsidRPr="00296A44">
          <w:rPr>
            <w:rStyle w:val="Hypertextovodkaz"/>
            <w:rFonts w:ascii="Arial" w:hAnsi="Arial" w:cs="Arial"/>
            <w:sz w:val="20"/>
            <w:szCs w:val="20"/>
          </w:rPr>
          <w:t>chvojka@muzeumcb.cz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04A13E22" w14:textId="77777777" w:rsidR="00AA7D49" w:rsidRPr="00AA7D49" w:rsidRDefault="00AA7D49" w:rsidP="00AA7D49">
      <w:pPr>
        <w:pStyle w:val="Odstavecseseznamem"/>
        <w:spacing w:after="0" w:line="360" w:lineRule="auto"/>
        <w:rPr>
          <w:rFonts w:ascii="Arial" w:hAnsi="Arial" w:cs="Arial"/>
          <w:sz w:val="20"/>
          <w:szCs w:val="20"/>
        </w:rPr>
      </w:pPr>
    </w:p>
    <w:p w14:paraId="60F784C7" w14:textId="77777777" w:rsidR="00AA7D49" w:rsidRPr="00F01F97" w:rsidRDefault="00AA7D49" w:rsidP="00AA7D49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Programové a propagační oddělení Jihočeského muzea </w:t>
      </w:r>
      <w:r>
        <w:rPr>
          <w:rFonts w:ascii="Arial" w:hAnsi="Arial" w:cs="Arial"/>
          <w:sz w:val="20"/>
          <w:szCs w:val="20"/>
        </w:rPr>
        <w:t xml:space="preserve">| </w:t>
      </w:r>
      <w:r w:rsidRPr="00F01F97">
        <w:rPr>
          <w:rFonts w:ascii="Arial" w:hAnsi="Arial" w:cs="Arial"/>
          <w:sz w:val="20"/>
          <w:szCs w:val="20"/>
        </w:rPr>
        <w:t xml:space="preserve">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2BDEF343" w14:textId="38D95E91" w:rsidR="00AA7D49" w:rsidRPr="00926C95" w:rsidRDefault="00AA7D49" w:rsidP="00AA7D49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8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</w:p>
    <w:p w14:paraId="23272E54" w14:textId="77777777" w:rsidR="00AA7D49" w:rsidRPr="00F01F97" w:rsidRDefault="00AA7D49" w:rsidP="00AA7D4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691C2C03" w14:textId="62073771" w:rsidR="00041902" w:rsidRPr="00AA7D49" w:rsidRDefault="00AA7D49" w:rsidP="00AA7D49">
      <w:pPr>
        <w:pStyle w:val="Odstavecseseznamem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AA7D49">
        <w:rPr>
          <w:rFonts w:ascii="Arial" w:hAnsi="Arial" w:cs="Arial"/>
          <w:sz w:val="20"/>
          <w:szCs w:val="20"/>
        </w:rPr>
        <w:t xml:space="preserve">Web Jihočeského muzea: </w:t>
      </w:r>
      <w:hyperlink r:id="rId9" w:history="1">
        <w:r w:rsidRPr="00AA7D49">
          <w:rPr>
            <w:rStyle w:val="Hypertextovodkaz"/>
            <w:rFonts w:ascii="Arial" w:hAnsi="Arial" w:cs="Arial"/>
            <w:sz w:val="20"/>
            <w:szCs w:val="20"/>
          </w:rPr>
          <w:t>https://www.muzeumcb.cz/program/vystavy/po-dalnici-do-praveku.html</w:t>
        </w:r>
      </w:hyperlink>
    </w:p>
    <w:sectPr w:rsidR="00041902" w:rsidRPr="00AA7D49" w:rsidSect="00AA7D49">
      <w:headerReference w:type="default" r:id="rId10"/>
      <w:footerReference w:type="default" r:id="rId11"/>
      <w:pgSz w:w="11906" w:h="16838"/>
      <w:pgMar w:top="142" w:right="991" w:bottom="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507FD" w14:textId="77777777" w:rsidR="00AA7D49" w:rsidRDefault="00AA7D49" w:rsidP="00AA7D49">
      <w:pPr>
        <w:spacing w:after="0" w:line="240" w:lineRule="auto"/>
      </w:pPr>
      <w:r>
        <w:separator/>
      </w:r>
    </w:p>
  </w:endnote>
  <w:endnote w:type="continuationSeparator" w:id="0">
    <w:p w14:paraId="76223FBA" w14:textId="77777777" w:rsidR="00AA7D49" w:rsidRDefault="00AA7D49" w:rsidP="00AA7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F8689" w14:textId="2CE55BB7" w:rsidR="00AA7D49" w:rsidRDefault="00AA7D49">
    <w:pPr>
      <w:pStyle w:val="Zpat"/>
    </w:pPr>
    <w:r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75FC55EA" wp14:editId="73CF78F3">
          <wp:simplePos x="0" y="0"/>
          <wp:positionH relativeFrom="margin">
            <wp:align>right</wp:align>
          </wp:positionH>
          <wp:positionV relativeFrom="paragraph">
            <wp:posOffset>247650</wp:posOffset>
          </wp:positionV>
          <wp:extent cx="6210935" cy="574675"/>
          <wp:effectExtent l="0" t="0" r="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0935" cy="574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D43A6" w14:textId="77777777" w:rsidR="00AA7D49" w:rsidRDefault="00AA7D49" w:rsidP="00AA7D49">
      <w:pPr>
        <w:spacing w:after="0" w:line="240" w:lineRule="auto"/>
      </w:pPr>
      <w:r>
        <w:separator/>
      </w:r>
    </w:p>
  </w:footnote>
  <w:footnote w:type="continuationSeparator" w:id="0">
    <w:p w14:paraId="11A96EA5" w14:textId="77777777" w:rsidR="00AA7D49" w:rsidRDefault="00AA7D49" w:rsidP="00AA7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6D2B8" w14:textId="77777777" w:rsidR="00AA7D49" w:rsidRDefault="00AA7D4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D198750" wp14:editId="5769160D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E6C22"/>
    <w:multiLevelType w:val="hybridMultilevel"/>
    <w:tmpl w:val="596AC8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0E3AB1"/>
    <w:multiLevelType w:val="hybridMultilevel"/>
    <w:tmpl w:val="A02642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283282">
    <w:abstractNumId w:val="0"/>
  </w:num>
  <w:num w:numId="2" w16cid:durableId="2143578562">
    <w:abstractNumId w:val="1"/>
  </w:num>
  <w:num w:numId="3" w16cid:durableId="1353189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D49"/>
    <w:rsid w:val="00041902"/>
    <w:rsid w:val="005955B5"/>
    <w:rsid w:val="005C0D0B"/>
    <w:rsid w:val="00AA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04DE5"/>
  <w15:chartTrackingRefBased/>
  <w15:docId w15:val="{35DFD109-9CFE-41ED-A5BC-94E50C175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A7D4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AA7D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A7D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A7D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A7D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A7D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A7D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A7D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A7D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A7D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7D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A7D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A7D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A7D4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A7D4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A7D4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A7D4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A7D4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A7D4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A7D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A7D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A7D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A7D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A7D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A7D4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A7D4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A7D4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A7D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A7D4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A7D49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A7D49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A7D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7D49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AA7D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7D49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AA7D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hvojka@muzeumcb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vystavy/po-dalnici-do-praveku.ht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352</Words>
  <Characters>2081</Characters>
  <Application>Microsoft Office Word</Application>
  <DocSecurity>0</DocSecurity>
  <Lines>17</Lines>
  <Paragraphs>4</Paragraphs>
  <ScaleCrop>false</ScaleCrop>
  <Company>Jihoceske muzeum</Company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</cp:revision>
  <dcterms:created xsi:type="dcterms:W3CDTF">2026-04-29T06:30:00Z</dcterms:created>
  <dcterms:modified xsi:type="dcterms:W3CDTF">2026-04-29T06:39:00Z</dcterms:modified>
</cp:coreProperties>
</file>