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11225E" w14:textId="77777777" w:rsidR="00403572" w:rsidRPr="004D5B5E" w:rsidRDefault="00403572" w:rsidP="00403572">
      <w:pPr>
        <w:tabs>
          <w:tab w:val="left" w:pos="5835"/>
        </w:tabs>
        <w:spacing w:line="240" w:lineRule="auto"/>
        <w:jc w:val="both"/>
        <w:rPr>
          <w:rFonts w:ascii="Solpera" w:hAnsi="Solpera" w:cs="Arial"/>
          <w:b/>
          <w:color w:val="000000"/>
          <w:sz w:val="6"/>
          <w:szCs w:val="30"/>
        </w:rPr>
      </w:pPr>
    </w:p>
    <w:p w14:paraId="72607452" w14:textId="77777777" w:rsidR="00403572" w:rsidRPr="005A7EA4" w:rsidRDefault="00403572" w:rsidP="00403572">
      <w:pPr>
        <w:tabs>
          <w:tab w:val="left" w:pos="3195"/>
        </w:tabs>
        <w:spacing w:line="240" w:lineRule="auto"/>
        <w:jc w:val="both"/>
        <w:rPr>
          <w:rFonts w:ascii="Solpera" w:hAnsi="Solpera" w:cs="Arial"/>
          <w:b/>
          <w:color w:val="000000"/>
          <w:sz w:val="2"/>
          <w:szCs w:val="2"/>
        </w:rPr>
      </w:pPr>
    </w:p>
    <w:p w14:paraId="795B5782" w14:textId="71A94325" w:rsidR="00403572" w:rsidRPr="00403572" w:rsidRDefault="00403572" w:rsidP="00403572">
      <w:pPr>
        <w:tabs>
          <w:tab w:val="left" w:pos="3195"/>
        </w:tabs>
        <w:spacing w:line="240" w:lineRule="auto"/>
        <w:jc w:val="both"/>
        <w:rPr>
          <w:rFonts w:ascii="Solpera" w:hAnsi="Solpera" w:cs="Arial"/>
          <w:b/>
          <w:color w:val="000000"/>
          <w:sz w:val="48"/>
          <w:szCs w:val="48"/>
        </w:rPr>
      </w:pPr>
      <w:r w:rsidRPr="00403572">
        <w:rPr>
          <w:rFonts w:ascii="Solpera" w:hAnsi="Solpera" w:cs="Arial"/>
          <w:b/>
          <w:color w:val="000000"/>
          <w:sz w:val="48"/>
          <w:szCs w:val="48"/>
        </w:rPr>
        <w:t>TROCNOVSKÉ SLAVNOSTI</w:t>
      </w:r>
    </w:p>
    <w:p w14:paraId="403921D1" w14:textId="28B08242" w:rsidR="00403572" w:rsidRPr="00463FF7" w:rsidRDefault="00403572" w:rsidP="00403572">
      <w:pPr>
        <w:tabs>
          <w:tab w:val="left" w:pos="3195"/>
        </w:tabs>
        <w:spacing w:line="240" w:lineRule="auto"/>
        <w:jc w:val="both"/>
        <w:rPr>
          <w:rFonts w:ascii="Solpera" w:hAnsi="Solpera" w:cs="Arial"/>
          <w:b/>
          <w:color w:val="000000"/>
          <w:sz w:val="44"/>
          <w:szCs w:val="44"/>
        </w:rPr>
      </w:pPr>
      <w:r>
        <w:rPr>
          <w:rFonts w:ascii="Solpera" w:hAnsi="Solpera" w:cs="Arial"/>
          <w:b/>
          <w:color w:val="000000"/>
          <w:sz w:val="44"/>
          <w:szCs w:val="44"/>
        </w:rPr>
        <w:t>5. 9. – 6. 9. 2026 | 10:00 – 18:00 hod.</w:t>
      </w:r>
    </w:p>
    <w:p w14:paraId="6AD3380C" w14:textId="77777777" w:rsidR="00403572" w:rsidRPr="00081BAD" w:rsidRDefault="00403572" w:rsidP="00403572">
      <w:pPr>
        <w:tabs>
          <w:tab w:val="left" w:pos="3195"/>
        </w:tabs>
        <w:spacing w:line="240" w:lineRule="auto"/>
        <w:jc w:val="both"/>
        <w:rPr>
          <w:rFonts w:ascii="Solpera" w:hAnsi="Solpera" w:cs="Arial"/>
          <w:b/>
          <w:sz w:val="28"/>
          <w:szCs w:val="28"/>
          <w:u w:val="single"/>
        </w:rPr>
      </w:pPr>
      <w:r w:rsidRPr="00081BAD">
        <w:rPr>
          <w:rFonts w:ascii="Solpera" w:hAnsi="Solpera" w:cs="Arial"/>
          <w:sz w:val="28"/>
          <w:szCs w:val="28"/>
          <w:u w:val="single"/>
        </w:rPr>
        <w:t>Areál Archeoskanzenu Trocnov (Trocnov 14, 373 12 Borovany)</w:t>
      </w:r>
    </w:p>
    <w:p w14:paraId="6E21539C" w14:textId="13BCA576" w:rsidR="00403572" w:rsidRDefault="00403572" w:rsidP="00403572">
      <w:pPr>
        <w:spacing w:line="360" w:lineRule="auto"/>
        <w:jc w:val="both"/>
        <w:rPr>
          <w:rFonts w:ascii="Solpera" w:hAnsi="Solpera" w:cs="Arial"/>
          <w:b/>
        </w:rPr>
      </w:pPr>
      <w:r w:rsidRPr="00FD366B">
        <w:rPr>
          <w:rFonts w:ascii="Solpera" w:hAnsi="Solpera" w:cs="Arial"/>
          <w:b/>
          <w:sz w:val="24"/>
          <w:szCs w:val="24"/>
        </w:rPr>
        <w:br/>
      </w:r>
      <w:r w:rsidR="00074AF5">
        <w:rPr>
          <w:rFonts w:ascii="Solpera" w:hAnsi="Solpera" w:cs="Arial"/>
          <w:b/>
        </w:rPr>
        <w:t>Jihočeský kraj a Jihočeské muzeum v</w:t>
      </w:r>
      <w:r w:rsidR="00074AF5">
        <w:rPr>
          <w:rFonts w:ascii="Calibri" w:hAnsi="Calibri" w:cs="Calibri"/>
          <w:b/>
        </w:rPr>
        <w:t> </w:t>
      </w:r>
      <w:r w:rsidR="00074AF5">
        <w:rPr>
          <w:rFonts w:ascii="Solpera" w:hAnsi="Solpera" w:cs="Arial"/>
          <w:b/>
        </w:rPr>
        <w:t>Českých Budějovicích vás zvou na j</w:t>
      </w:r>
      <w:r w:rsidRPr="00430617">
        <w:rPr>
          <w:rFonts w:ascii="Solpera" w:hAnsi="Solpera" w:cs="Arial"/>
          <w:b/>
        </w:rPr>
        <w:t>edn</w:t>
      </w:r>
      <w:r w:rsidR="00074AF5">
        <w:rPr>
          <w:rFonts w:ascii="Solpera" w:hAnsi="Solpera" w:cs="Arial"/>
          <w:b/>
        </w:rPr>
        <w:t>u</w:t>
      </w:r>
      <w:r w:rsidRPr="00430617">
        <w:rPr>
          <w:rFonts w:ascii="Solpera" w:hAnsi="Solpera" w:cs="Arial"/>
          <w:b/>
        </w:rPr>
        <w:t xml:space="preserve"> </w:t>
      </w:r>
      <w:r w:rsidRPr="00081BAD">
        <w:rPr>
          <w:rFonts w:ascii="Solpera" w:hAnsi="Solpera" w:cs="Arial"/>
          <w:b/>
        </w:rPr>
        <w:t>z hlavních akcí sezony</w:t>
      </w:r>
      <w:r w:rsidR="00074AF5" w:rsidRPr="00081BAD">
        <w:rPr>
          <w:rFonts w:ascii="Solpera" w:hAnsi="Solpera" w:cs="Arial"/>
          <w:b/>
        </w:rPr>
        <w:t xml:space="preserve"> v</w:t>
      </w:r>
      <w:r w:rsidR="00074AF5" w:rsidRPr="00081BAD">
        <w:rPr>
          <w:rFonts w:ascii="Calibri" w:hAnsi="Calibri" w:cs="Calibri"/>
          <w:b/>
        </w:rPr>
        <w:t> </w:t>
      </w:r>
      <w:r w:rsidR="00074AF5" w:rsidRPr="00081BAD">
        <w:rPr>
          <w:rFonts w:ascii="Solpera" w:hAnsi="Solpera" w:cs="Calibri"/>
          <w:b/>
        </w:rPr>
        <w:t>areálu</w:t>
      </w:r>
      <w:r w:rsidR="00074AF5">
        <w:rPr>
          <w:rFonts w:ascii="Calibri" w:hAnsi="Calibri" w:cs="Calibri"/>
          <w:b/>
        </w:rPr>
        <w:t xml:space="preserve"> </w:t>
      </w:r>
      <w:r w:rsidR="00074AF5">
        <w:rPr>
          <w:rFonts w:ascii="Solpera" w:hAnsi="Solpera" w:cs="Arial"/>
          <w:b/>
        </w:rPr>
        <w:t>Archeoskanzenu Trocnov. D</w:t>
      </w:r>
      <w:r w:rsidRPr="00430617">
        <w:rPr>
          <w:rFonts w:ascii="Solpera" w:hAnsi="Solpera" w:cs="Arial"/>
          <w:b/>
        </w:rPr>
        <w:t>voudenní Trocnovské slavnosti</w:t>
      </w:r>
      <w:r w:rsidR="00074AF5">
        <w:rPr>
          <w:rFonts w:ascii="Solpera" w:hAnsi="Solpera" w:cs="Arial"/>
          <w:b/>
        </w:rPr>
        <w:t xml:space="preserve"> </w:t>
      </w:r>
      <w:r w:rsidRPr="00430617">
        <w:rPr>
          <w:rFonts w:ascii="Solpera" w:hAnsi="Solpera" w:cs="Arial"/>
          <w:b/>
        </w:rPr>
        <w:t>se konají 5. - 6. září 2026 (sobota a neděle) vždy od 10:00 do 18:00 hodin. Připraven je bohatý program pro děti i dospělé. Vstup je zdarma!</w:t>
      </w:r>
    </w:p>
    <w:p w14:paraId="0F9166C2" w14:textId="4170D6BD" w:rsidR="00403572" w:rsidRPr="00081BAD" w:rsidRDefault="00430617" w:rsidP="00403572">
      <w:pPr>
        <w:spacing w:line="360" w:lineRule="auto"/>
        <w:jc w:val="both"/>
        <w:rPr>
          <w:rFonts w:ascii="Solpera" w:hAnsi="Solpera" w:cs="Arial"/>
          <w:bCs/>
        </w:rPr>
      </w:pPr>
      <w:r w:rsidRPr="00081BAD">
        <w:rPr>
          <w:rFonts w:ascii="Solpera" w:hAnsi="Solpera" w:cs="Arial"/>
          <w:bCs/>
        </w:rPr>
        <w:t>Novinkou a jedním z</w:t>
      </w:r>
      <w:r w:rsidRPr="00081BAD">
        <w:rPr>
          <w:rFonts w:ascii="Calibri" w:hAnsi="Calibri" w:cs="Calibri"/>
          <w:bCs/>
        </w:rPr>
        <w:t> </w:t>
      </w:r>
      <w:r w:rsidRPr="00081BAD">
        <w:rPr>
          <w:rFonts w:ascii="Solpera" w:hAnsi="Solpera" w:cs="Arial"/>
          <w:bCs/>
        </w:rPr>
        <w:t xml:space="preserve">vrcholů </w:t>
      </w:r>
      <w:r w:rsidRPr="00081BAD">
        <w:rPr>
          <w:rFonts w:ascii="Solpera" w:hAnsi="Solpera" w:cs="Arial"/>
          <w:bCs/>
        </w:rPr>
        <w:t xml:space="preserve">akce bude </w:t>
      </w:r>
      <w:r w:rsidRPr="00081BAD">
        <w:rPr>
          <w:rFonts w:ascii="Solpera" w:hAnsi="Solpera" w:cs="Arial"/>
          <w:bCs/>
        </w:rPr>
        <w:t>v</w:t>
      </w:r>
      <w:r w:rsidRPr="00081BAD">
        <w:rPr>
          <w:rFonts w:ascii="Calibri" w:hAnsi="Calibri" w:cs="Calibri"/>
          <w:bCs/>
        </w:rPr>
        <w:t> </w:t>
      </w:r>
      <w:r w:rsidRPr="00081BAD">
        <w:rPr>
          <w:rFonts w:ascii="Solpera" w:hAnsi="Solpera" w:cs="Arial"/>
          <w:bCs/>
        </w:rPr>
        <w:t xml:space="preserve">neděli </w:t>
      </w:r>
      <w:r w:rsidRPr="00081BAD">
        <w:rPr>
          <w:rFonts w:ascii="Solpera" w:hAnsi="Solpera" w:cs="Arial"/>
          <w:bCs/>
        </w:rPr>
        <w:t>rytířský turnaj na koních v podání divadelní a kaskadérské skupiny Štvanci. Nenechte si ujít toto napínavé klání a ukázky jezdecké dovednosti rytířů</w:t>
      </w:r>
      <w:r w:rsidR="001B43F0" w:rsidRPr="00081BAD">
        <w:rPr>
          <w:rFonts w:ascii="Solpera" w:hAnsi="Solpera" w:cs="Arial"/>
          <w:bCs/>
        </w:rPr>
        <w:t xml:space="preserve">. Čeká vás </w:t>
      </w:r>
      <w:r w:rsidRPr="00081BAD">
        <w:rPr>
          <w:rFonts w:ascii="Solpera" w:hAnsi="Solpera" w:cs="Arial"/>
          <w:bCs/>
        </w:rPr>
        <w:t>nejen</w:t>
      </w:r>
      <w:r w:rsidR="001B43F0" w:rsidRPr="00081BAD">
        <w:rPr>
          <w:rFonts w:ascii="Solpera" w:hAnsi="Solpera" w:cs="Arial"/>
          <w:bCs/>
        </w:rPr>
        <w:t xml:space="preserve"> </w:t>
      </w:r>
      <w:r w:rsidRPr="00081BAD">
        <w:rPr>
          <w:rFonts w:ascii="Solpera" w:hAnsi="Solpera" w:cs="Arial"/>
          <w:bCs/>
        </w:rPr>
        <w:t>klasic</w:t>
      </w:r>
      <w:r w:rsidR="001B43F0" w:rsidRPr="00081BAD">
        <w:rPr>
          <w:rFonts w:ascii="Solpera" w:hAnsi="Solpera" w:cs="Arial"/>
          <w:bCs/>
        </w:rPr>
        <w:t>ký</w:t>
      </w:r>
      <w:r w:rsidRPr="00081BAD">
        <w:rPr>
          <w:rFonts w:ascii="Solpera" w:hAnsi="Solpera" w:cs="Arial"/>
          <w:bCs/>
        </w:rPr>
        <w:t xml:space="preserve"> prstenco</w:t>
      </w:r>
      <w:r w:rsidR="001B43F0" w:rsidRPr="00081BAD">
        <w:rPr>
          <w:rFonts w:ascii="Solpera" w:hAnsi="Solpera" w:cs="Arial"/>
          <w:bCs/>
        </w:rPr>
        <w:t>vý</w:t>
      </w:r>
      <w:r w:rsidRPr="00081BAD">
        <w:rPr>
          <w:rFonts w:ascii="Solpera" w:hAnsi="Solpera" w:cs="Arial"/>
          <w:bCs/>
        </w:rPr>
        <w:t xml:space="preserve"> turnaj, ale i další nezvykl</w:t>
      </w:r>
      <w:r w:rsidR="001B43F0" w:rsidRPr="00081BAD">
        <w:rPr>
          <w:rFonts w:ascii="Solpera" w:hAnsi="Solpera" w:cs="Arial"/>
          <w:bCs/>
        </w:rPr>
        <w:t xml:space="preserve">á </w:t>
      </w:r>
      <w:r w:rsidRPr="00081BAD">
        <w:rPr>
          <w:rFonts w:ascii="Solpera" w:hAnsi="Solpera" w:cs="Arial"/>
          <w:bCs/>
        </w:rPr>
        <w:t>podívan</w:t>
      </w:r>
      <w:r w:rsidR="001B43F0" w:rsidRPr="00081BAD">
        <w:rPr>
          <w:rFonts w:ascii="Solpera" w:hAnsi="Solpera" w:cs="Arial"/>
          <w:bCs/>
        </w:rPr>
        <w:t>á</w:t>
      </w:r>
      <w:r w:rsidRPr="00081BAD">
        <w:rPr>
          <w:rFonts w:ascii="Solpera" w:hAnsi="Solpera" w:cs="Arial"/>
          <w:bCs/>
        </w:rPr>
        <w:t xml:space="preserve">. </w:t>
      </w:r>
      <w:r w:rsidRPr="00081BAD">
        <w:rPr>
          <w:rFonts w:ascii="Solpera" w:hAnsi="Solpera" w:cs="Arial"/>
          <w:bCs/>
        </w:rPr>
        <w:t>Nechybí velkolepé dřevcové klání, při němž se rytíři ze sedel vyrážejí. Významnou součástí skupiny je spolupráce s produkcemi při realizaci a natáčení historických filmů a dokumentů. Johanka z Arku, Napoleon, Stroj času nebo Jan Žižka. To jsou jen některé z filmů, ve kterých zanechali otisk Štvanci pod vedením Roberta Šlapanského.</w:t>
      </w:r>
      <w:r w:rsidR="001B43F0" w:rsidRPr="00081BAD">
        <w:rPr>
          <w:rFonts w:ascii="Solpera" w:hAnsi="Solpera" w:cs="Arial"/>
          <w:bCs/>
        </w:rPr>
        <w:t xml:space="preserve"> </w:t>
      </w:r>
      <w:r w:rsidR="001B43F0" w:rsidRPr="00081BAD">
        <w:rPr>
          <w:rFonts w:ascii="Solpera" w:hAnsi="Solpera" w:cs="Arial"/>
          <w:bCs/>
        </w:rPr>
        <w:t>V posledních letech se Štvanci soustředí především na jezdecká představení, za něž v minulém roce získali ocenění „skupina roku“ v kategorii Rytířský turnaj na koních. Svým</w:t>
      </w:r>
      <w:r w:rsidR="001B43F0" w:rsidRPr="00081BAD">
        <w:rPr>
          <w:rFonts w:ascii="Solpera" w:hAnsi="Solpera" w:cs="Arial"/>
          <w:bCs/>
        </w:rPr>
        <w:t>i</w:t>
      </w:r>
      <w:r w:rsidR="001B43F0" w:rsidRPr="00081BAD">
        <w:rPr>
          <w:rFonts w:ascii="Solpera" w:hAnsi="Solpera" w:cs="Arial"/>
          <w:bCs/>
        </w:rPr>
        <w:t xml:space="preserve"> </w:t>
      </w:r>
      <w:r w:rsidR="001B43F0" w:rsidRPr="00081BAD">
        <w:rPr>
          <w:rFonts w:ascii="Solpera" w:hAnsi="Solpera" w:cs="Arial"/>
          <w:bCs/>
        </w:rPr>
        <w:t xml:space="preserve">profesionálními </w:t>
      </w:r>
      <w:r w:rsidR="001B43F0" w:rsidRPr="00081BAD">
        <w:rPr>
          <w:rFonts w:ascii="Solpera" w:hAnsi="Solpera" w:cs="Arial"/>
          <w:bCs/>
        </w:rPr>
        <w:t>vystoupením</w:t>
      </w:r>
      <w:r w:rsidR="006A0929">
        <w:rPr>
          <w:rFonts w:ascii="Solpera" w:hAnsi="Solpera" w:cs="Arial"/>
          <w:bCs/>
        </w:rPr>
        <w:t>i</w:t>
      </w:r>
      <w:r w:rsidR="001B43F0" w:rsidRPr="00081BAD">
        <w:rPr>
          <w:rFonts w:ascii="Solpera" w:hAnsi="Solpera" w:cs="Arial"/>
          <w:bCs/>
        </w:rPr>
        <w:t xml:space="preserve"> jsou inspirací a jdou příkladem ostatním tuzemským skupinám.</w:t>
      </w:r>
    </w:p>
    <w:p w14:paraId="6DBB1B40" w14:textId="6E016CF8" w:rsidR="00430617" w:rsidRPr="00081BAD" w:rsidRDefault="00430617" w:rsidP="00403572">
      <w:pPr>
        <w:spacing w:line="360" w:lineRule="auto"/>
        <w:jc w:val="both"/>
        <w:rPr>
          <w:rFonts w:ascii="Solpera" w:hAnsi="Solpera" w:cs="Arial"/>
          <w:bCs/>
        </w:rPr>
      </w:pPr>
      <w:r w:rsidRPr="00081BAD">
        <w:rPr>
          <w:rFonts w:ascii="Solpera" w:hAnsi="Solpera" w:cs="Arial"/>
          <w:bCs/>
        </w:rPr>
        <w:t xml:space="preserve">Další lákadlem akce je </w:t>
      </w:r>
      <w:r w:rsidR="001B43F0" w:rsidRPr="00081BAD">
        <w:rPr>
          <w:rFonts w:ascii="Solpera" w:hAnsi="Solpera" w:cs="Arial"/>
          <w:bCs/>
        </w:rPr>
        <w:t>např. návštěva známého českého historika Petra Čorneje, který v</w:t>
      </w:r>
      <w:r w:rsidR="001B43F0" w:rsidRPr="00081BAD">
        <w:rPr>
          <w:rFonts w:ascii="Calibri" w:hAnsi="Calibri" w:cs="Calibri"/>
          <w:bCs/>
        </w:rPr>
        <w:t> </w:t>
      </w:r>
      <w:r w:rsidR="001B43F0" w:rsidRPr="00081BAD">
        <w:rPr>
          <w:rFonts w:ascii="Solpera" w:hAnsi="Solpera" w:cs="Arial"/>
          <w:bCs/>
        </w:rPr>
        <w:t>sobotu vystoupí s</w:t>
      </w:r>
      <w:r w:rsidR="00081BAD">
        <w:rPr>
          <w:rFonts w:ascii="Solpera" w:hAnsi="Solpera" w:cs="Arial"/>
          <w:bCs/>
        </w:rPr>
        <w:t>e</w:t>
      </w:r>
      <w:r w:rsidR="001B43F0" w:rsidRPr="00081BAD">
        <w:rPr>
          <w:rFonts w:ascii="Calibri" w:hAnsi="Calibri" w:cs="Calibri"/>
          <w:bCs/>
        </w:rPr>
        <w:t> </w:t>
      </w:r>
      <w:r w:rsidR="001B43F0" w:rsidRPr="00081BAD">
        <w:rPr>
          <w:rFonts w:ascii="Solpera" w:hAnsi="Solpera" w:cs="Arial"/>
          <w:bCs/>
        </w:rPr>
        <w:t>dvěma přednáškami (Jak ztratil Jan Žižka druhé oko a Jan Žižka a město Tábor)</w:t>
      </w:r>
      <w:r w:rsidR="00081BAD">
        <w:rPr>
          <w:rFonts w:ascii="Solpera" w:hAnsi="Solpera" w:cs="Arial"/>
          <w:bCs/>
        </w:rPr>
        <w:t>. N</w:t>
      </w:r>
      <w:r w:rsidR="001B43F0" w:rsidRPr="00081BAD">
        <w:rPr>
          <w:rFonts w:ascii="Solpera" w:hAnsi="Solpera" w:cs="Arial"/>
          <w:bCs/>
        </w:rPr>
        <w:t>ávštěvníci se mohou těšit i na autogramiády.</w:t>
      </w:r>
    </w:p>
    <w:p w14:paraId="74A2C17C" w14:textId="0F2B44CF" w:rsidR="001B43F0" w:rsidRPr="00081BAD" w:rsidRDefault="001B43F0" w:rsidP="00403572">
      <w:pPr>
        <w:spacing w:line="360" w:lineRule="auto"/>
        <w:jc w:val="both"/>
        <w:rPr>
          <w:rFonts w:ascii="Solpera" w:hAnsi="Solpera" w:cs="Arial"/>
          <w:bCs/>
        </w:rPr>
      </w:pPr>
      <w:r w:rsidRPr="00081BAD">
        <w:rPr>
          <w:rFonts w:ascii="Solpera" w:hAnsi="Solpera" w:cs="Arial"/>
          <w:bCs/>
        </w:rPr>
        <w:t>V</w:t>
      </w:r>
      <w:r w:rsidRPr="00081BAD">
        <w:rPr>
          <w:rFonts w:ascii="Calibri" w:hAnsi="Calibri" w:cs="Calibri"/>
          <w:bCs/>
        </w:rPr>
        <w:t> </w:t>
      </w:r>
      <w:r w:rsidRPr="00081BAD">
        <w:rPr>
          <w:rFonts w:ascii="Solpera" w:hAnsi="Solpera" w:cs="Arial"/>
          <w:bCs/>
        </w:rPr>
        <w:t>sobotu i v</w:t>
      </w:r>
      <w:r w:rsidRPr="00081BAD">
        <w:rPr>
          <w:rFonts w:ascii="Calibri" w:hAnsi="Calibri" w:cs="Calibri"/>
          <w:bCs/>
        </w:rPr>
        <w:t> </w:t>
      </w:r>
      <w:r w:rsidRPr="00081BAD">
        <w:rPr>
          <w:rFonts w:ascii="Solpera" w:hAnsi="Solpera" w:cs="Arial"/>
          <w:bCs/>
        </w:rPr>
        <w:t>neděli je připraven pestrý program, který zaujme všechny věkové kategorie, a to na louce u sochy Jana Žižky, v</w:t>
      </w:r>
      <w:r w:rsidRPr="00081BAD">
        <w:rPr>
          <w:rFonts w:ascii="Calibri" w:hAnsi="Calibri" w:cs="Calibri"/>
          <w:bCs/>
        </w:rPr>
        <w:t> </w:t>
      </w:r>
      <w:r w:rsidRPr="00081BAD">
        <w:rPr>
          <w:rFonts w:ascii="Solpera" w:hAnsi="Solpera" w:cs="Arial"/>
          <w:bCs/>
        </w:rPr>
        <w:t>areálu Archeoskanzenu Trocnov a také v</w:t>
      </w:r>
      <w:r w:rsidRPr="00081BAD">
        <w:rPr>
          <w:rFonts w:ascii="Calibri" w:hAnsi="Calibri" w:cs="Calibri"/>
          <w:bCs/>
        </w:rPr>
        <w:t> </w:t>
      </w:r>
      <w:r w:rsidRPr="00081BAD">
        <w:rPr>
          <w:rFonts w:ascii="Solpera" w:hAnsi="Solpera" w:cs="Arial"/>
          <w:bCs/>
        </w:rPr>
        <w:t xml:space="preserve">Památníku a Návštěvnickém a vzdělávacím centru. Návštěvníci se mohou těšit </w:t>
      </w:r>
      <w:r w:rsidR="00FA1516" w:rsidRPr="00081BAD">
        <w:rPr>
          <w:rFonts w:ascii="Solpera" w:hAnsi="Solpera" w:cs="Arial"/>
          <w:bCs/>
        </w:rPr>
        <w:t xml:space="preserve">např. </w:t>
      </w:r>
      <w:r w:rsidRPr="00081BAD">
        <w:rPr>
          <w:rFonts w:ascii="Solpera" w:hAnsi="Solpera" w:cs="Arial"/>
          <w:bCs/>
        </w:rPr>
        <w:t>na živou středověkou hudbu v</w:t>
      </w:r>
      <w:r w:rsidRPr="00081BAD">
        <w:rPr>
          <w:rFonts w:ascii="Calibri" w:hAnsi="Calibri" w:cs="Calibri"/>
          <w:bCs/>
        </w:rPr>
        <w:t> </w:t>
      </w:r>
      <w:r w:rsidRPr="00081BAD">
        <w:rPr>
          <w:rFonts w:ascii="Solpera" w:hAnsi="Solpera" w:cs="Arial"/>
          <w:bCs/>
        </w:rPr>
        <w:t xml:space="preserve">podání kapel Elthin a Lucrezia Borgia, sérii šermířských </w:t>
      </w:r>
      <w:r w:rsidR="00074AF5" w:rsidRPr="00081BAD">
        <w:rPr>
          <w:rFonts w:ascii="Solpera" w:hAnsi="Solpera" w:cs="Arial"/>
          <w:bCs/>
        </w:rPr>
        <w:t xml:space="preserve">představení </w:t>
      </w:r>
      <w:r w:rsidRPr="00081BAD">
        <w:rPr>
          <w:rFonts w:ascii="Solpera" w:hAnsi="Solpera" w:cs="Arial"/>
          <w:bCs/>
        </w:rPr>
        <w:t xml:space="preserve">a dalších </w:t>
      </w:r>
      <w:r w:rsidR="00074AF5" w:rsidRPr="00081BAD">
        <w:rPr>
          <w:rFonts w:ascii="Solpera" w:hAnsi="Solpera" w:cs="Arial"/>
          <w:bCs/>
        </w:rPr>
        <w:t>exhibicí</w:t>
      </w:r>
      <w:r w:rsidRPr="00081BAD">
        <w:rPr>
          <w:rFonts w:ascii="Solpera" w:hAnsi="Solpera" w:cs="Arial"/>
          <w:bCs/>
        </w:rPr>
        <w:t xml:space="preserve"> v</w:t>
      </w:r>
      <w:r w:rsidRPr="00081BAD">
        <w:rPr>
          <w:rFonts w:ascii="Calibri" w:hAnsi="Calibri" w:cs="Calibri"/>
          <w:bCs/>
        </w:rPr>
        <w:t> </w:t>
      </w:r>
      <w:r w:rsidRPr="00081BAD">
        <w:rPr>
          <w:rFonts w:ascii="Solpera" w:hAnsi="Solpera" w:cs="Arial"/>
          <w:bCs/>
        </w:rPr>
        <w:t>režii skupin Fedrfechtýři a Harcíři z</w:t>
      </w:r>
      <w:r w:rsidR="00FA1516" w:rsidRPr="00081BAD">
        <w:rPr>
          <w:rFonts w:ascii="Calibri" w:hAnsi="Calibri" w:cs="Calibri"/>
          <w:bCs/>
        </w:rPr>
        <w:t> </w:t>
      </w:r>
      <w:r w:rsidRPr="00081BAD">
        <w:rPr>
          <w:rFonts w:ascii="Solpera" w:hAnsi="Solpera" w:cs="Arial"/>
          <w:bCs/>
        </w:rPr>
        <w:t>Rokycan</w:t>
      </w:r>
      <w:r w:rsidR="00FA1516" w:rsidRPr="00081BAD">
        <w:rPr>
          <w:rFonts w:ascii="Solpera" w:hAnsi="Solpera" w:cs="Arial"/>
          <w:bCs/>
        </w:rPr>
        <w:t xml:space="preserve"> nebo řízenou středověkou dětskou bitvu. Ve vojenském táboře budou k</w:t>
      </w:r>
      <w:r w:rsidR="00FA1516" w:rsidRPr="00081BAD">
        <w:rPr>
          <w:rFonts w:ascii="Calibri" w:hAnsi="Calibri" w:cs="Calibri"/>
          <w:bCs/>
        </w:rPr>
        <w:t> </w:t>
      </w:r>
      <w:r w:rsidR="00FA1516" w:rsidRPr="00081BAD">
        <w:rPr>
          <w:rFonts w:ascii="Solpera" w:hAnsi="Solpera" w:cs="Arial"/>
          <w:bCs/>
        </w:rPr>
        <w:t>vidění ukázky zbraní a zbrojí, které si lze vyzkoušet, lidé mohou nahlédnout do stanů šlechtice válečníka nebo žoldnéře s</w:t>
      </w:r>
      <w:r w:rsidR="00FA1516" w:rsidRPr="00081BAD">
        <w:rPr>
          <w:rFonts w:ascii="Calibri" w:hAnsi="Calibri" w:cs="Calibri"/>
          <w:bCs/>
        </w:rPr>
        <w:t> </w:t>
      </w:r>
      <w:r w:rsidR="00FA1516" w:rsidRPr="00081BAD">
        <w:rPr>
          <w:rFonts w:ascii="Solpera" w:hAnsi="Solpera" w:cs="Arial"/>
          <w:bCs/>
        </w:rPr>
        <w:t>hazardními hrami a nebude chybět ani kvíz na téma vývoj sečných zbraní a ukázky polní kuchyně. Nenechte si ujít rovněž Střelecké patálie – představení, které představí palné zbraně pozdního středověku a raného novověku včetně ukázek. Oblíbenou částí programu je také sokolnictví – Sokolnický dvorec Falker pod vedením Jana Brože si připravil komentované letové ukázky dravců, kteří budou k</w:t>
      </w:r>
      <w:r w:rsidR="00FA1516" w:rsidRPr="00081BAD">
        <w:rPr>
          <w:rFonts w:ascii="Calibri" w:hAnsi="Calibri" w:cs="Calibri"/>
          <w:bCs/>
        </w:rPr>
        <w:t> </w:t>
      </w:r>
      <w:r w:rsidR="00FA1516" w:rsidRPr="00081BAD">
        <w:rPr>
          <w:rFonts w:ascii="Solpera" w:hAnsi="Solpera" w:cs="Arial"/>
          <w:bCs/>
        </w:rPr>
        <w:t>vidění po celou dobu akce. O střelbu z</w:t>
      </w:r>
      <w:r w:rsidR="00FA1516" w:rsidRPr="00081BAD">
        <w:rPr>
          <w:rFonts w:ascii="Calibri" w:hAnsi="Calibri" w:cs="Calibri"/>
          <w:bCs/>
        </w:rPr>
        <w:t> </w:t>
      </w:r>
      <w:r w:rsidR="00FA1516" w:rsidRPr="00081BAD">
        <w:rPr>
          <w:rFonts w:ascii="Solpera" w:hAnsi="Solpera" w:cs="Arial"/>
          <w:bCs/>
        </w:rPr>
        <w:t xml:space="preserve">luku a kuše a ukázky dobývacích strojů (katapult, trebuchet a dětské dělo) se postará uskupení Lucistnice.cz. Navštívit můžete také venkovní naučnou stezku kolem trocnovského areálu – zde </w:t>
      </w:r>
      <w:r w:rsidR="00863239" w:rsidRPr="00081BAD">
        <w:rPr>
          <w:rFonts w:ascii="Solpera" w:hAnsi="Solpera" w:cs="Arial"/>
          <w:bCs/>
        </w:rPr>
        <w:t>narazíte</w:t>
      </w:r>
      <w:r w:rsidR="00FA1516" w:rsidRPr="00081BAD">
        <w:rPr>
          <w:rFonts w:ascii="Solpera" w:hAnsi="Solpera" w:cs="Arial"/>
          <w:bCs/>
        </w:rPr>
        <w:t xml:space="preserve"> např. </w:t>
      </w:r>
      <w:r w:rsidR="00863239" w:rsidRPr="00081BAD">
        <w:rPr>
          <w:rFonts w:ascii="Solpera" w:hAnsi="Solpera" w:cs="Arial"/>
          <w:bCs/>
        </w:rPr>
        <w:t xml:space="preserve">na </w:t>
      </w:r>
      <w:r w:rsidR="00FA1516" w:rsidRPr="00081BAD">
        <w:rPr>
          <w:rFonts w:ascii="Solpera" w:hAnsi="Solpera" w:cs="Arial"/>
          <w:bCs/>
        </w:rPr>
        <w:t xml:space="preserve">monumentální </w:t>
      </w:r>
      <w:r w:rsidR="00863239" w:rsidRPr="00081BAD">
        <w:rPr>
          <w:rFonts w:ascii="Solpera" w:hAnsi="Solpera" w:cs="Arial"/>
          <w:bCs/>
        </w:rPr>
        <w:t xml:space="preserve">třináctimetrovou </w:t>
      </w:r>
      <w:r w:rsidR="00FA1516" w:rsidRPr="00081BAD">
        <w:rPr>
          <w:rFonts w:ascii="Solpera" w:hAnsi="Solpera" w:cs="Arial"/>
          <w:bCs/>
        </w:rPr>
        <w:t xml:space="preserve">sochu husitského vojevůdce, pamětní kámen </w:t>
      </w:r>
      <w:r w:rsidR="00863239" w:rsidRPr="00081BAD">
        <w:rPr>
          <w:rFonts w:ascii="Solpera" w:hAnsi="Solpera" w:cs="Arial"/>
          <w:bCs/>
        </w:rPr>
        <w:t xml:space="preserve">údajného </w:t>
      </w:r>
      <w:r w:rsidR="00FA1516" w:rsidRPr="00081BAD">
        <w:rPr>
          <w:rFonts w:ascii="Solpera" w:hAnsi="Solpera" w:cs="Arial"/>
          <w:bCs/>
        </w:rPr>
        <w:t>místa narození Jana Žižka</w:t>
      </w:r>
      <w:r w:rsidR="00863239" w:rsidRPr="00081BAD">
        <w:rPr>
          <w:rFonts w:ascii="Solpera" w:hAnsi="Solpera" w:cs="Arial"/>
          <w:bCs/>
        </w:rPr>
        <w:t>, Žižkův nebo Mikšův dvorec. Stezka je opatřena informačními panely s QR kódy, kde se dozvíte více informací.</w:t>
      </w:r>
    </w:p>
    <w:p w14:paraId="6BAFA2A7" w14:textId="77777777" w:rsidR="00081BAD" w:rsidRDefault="00081BAD" w:rsidP="00403572">
      <w:pPr>
        <w:spacing w:line="360" w:lineRule="auto"/>
        <w:jc w:val="both"/>
        <w:rPr>
          <w:rFonts w:ascii="Solpera" w:hAnsi="Solpera" w:cs="Arial"/>
          <w:bCs/>
        </w:rPr>
      </w:pPr>
    </w:p>
    <w:p w14:paraId="2D9733E8" w14:textId="77777777" w:rsidR="00081BAD" w:rsidRDefault="00081BAD" w:rsidP="00403572">
      <w:pPr>
        <w:spacing w:line="360" w:lineRule="auto"/>
        <w:jc w:val="both"/>
        <w:rPr>
          <w:rFonts w:ascii="Solpera" w:hAnsi="Solpera" w:cs="Arial"/>
          <w:bCs/>
        </w:rPr>
      </w:pPr>
    </w:p>
    <w:p w14:paraId="10EA06C8" w14:textId="04CD6333" w:rsidR="00863239" w:rsidRPr="00081BAD" w:rsidRDefault="00863239" w:rsidP="00403572">
      <w:pPr>
        <w:spacing w:line="360" w:lineRule="auto"/>
        <w:jc w:val="both"/>
        <w:rPr>
          <w:rFonts w:ascii="Solpera" w:hAnsi="Solpera" w:cs="Arial"/>
          <w:bCs/>
        </w:rPr>
      </w:pPr>
      <w:r w:rsidRPr="00081BAD">
        <w:rPr>
          <w:rFonts w:ascii="Solpera" w:hAnsi="Solpera" w:cs="Arial"/>
          <w:bCs/>
        </w:rPr>
        <w:t>Bohatý program nabídne i Archeoskanzen Trocnov. Připraveny jsou oživené prohlídky zemanského dvorce a venkovské osady nebo středověká historická řemesla v</w:t>
      </w:r>
      <w:r w:rsidRPr="00081BAD">
        <w:rPr>
          <w:rFonts w:ascii="Calibri" w:hAnsi="Calibri" w:cs="Calibri"/>
          <w:bCs/>
        </w:rPr>
        <w:t> </w:t>
      </w:r>
      <w:r w:rsidRPr="00081BAD">
        <w:rPr>
          <w:rFonts w:ascii="Solpera" w:hAnsi="Solpera" w:cs="Arial"/>
          <w:bCs/>
        </w:rPr>
        <w:t>podání uskupení DANAR (kovář, tesař, švec, přadlena, tkadlena, hrnčířka, bednář, soustružník a truhlář). Dobovou kuchyni a vaření s</w:t>
      </w:r>
      <w:r w:rsidRPr="00081BAD">
        <w:rPr>
          <w:rFonts w:ascii="Calibri" w:hAnsi="Calibri" w:cs="Calibri"/>
          <w:bCs/>
        </w:rPr>
        <w:t> </w:t>
      </w:r>
      <w:r w:rsidRPr="00081BAD">
        <w:rPr>
          <w:rFonts w:ascii="Solpera" w:hAnsi="Solpera" w:cs="Arial"/>
          <w:bCs/>
        </w:rPr>
        <w:t>ochutnávkami pokrmů zajišťuje Císařský regiment a o další</w:t>
      </w:r>
      <w:r w:rsidR="00081BAD">
        <w:rPr>
          <w:rFonts w:ascii="Solpera" w:hAnsi="Solpera" w:cs="Arial"/>
          <w:bCs/>
        </w:rPr>
        <w:t xml:space="preserve"> </w:t>
      </w:r>
      <w:r w:rsidRPr="00081BAD">
        <w:rPr>
          <w:rFonts w:ascii="Solpera" w:hAnsi="Solpera" w:cs="Arial"/>
          <w:bCs/>
        </w:rPr>
        <w:t>program se postará Tempus Artificum (tkaní karetek, kameník, středověká kuchyně s</w:t>
      </w:r>
      <w:r w:rsidRPr="00081BAD">
        <w:rPr>
          <w:rFonts w:ascii="Calibri" w:hAnsi="Calibri" w:cs="Calibri"/>
          <w:bCs/>
        </w:rPr>
        <w:t> </w:t>
      </w:r>
      <w:r w:rsidRPr="00081BAD">
        <w:rPr>
          <w:rFonts w:ascii="Solpera" w:hAnsi="Solpera" w:cs="Arial"/>
          <w:bCs/>
        </w:rPr>
        <w:t>ochutnávkami, desková malba / písař, kušař, provazník, svíčkař, barvířka, tisk na látku, textilní řemesla).</w:t>
      </w:r>
    </w:p>
    <w:p w14:paraId="71769671" w14:textId="17D7D003" w:rsidR="00863239" w:rsidRDefault="00863239" w:rsidP="00403572">
      <w:pPr>
        <w:spacing w:line="360" w:lineRule="auto"/>
        <w:jc w:val="both"/>
        <w:rPr>
          <w:rFonts w:ascii="Solpera" w:hAnsi="Solpera" w:cs="Arial"/>
          <w:bCs/>
        </w:rPr>
      </w:pPr>
      <w:r w:rsidRPr="00081BAD">
        <w:rPr>
          <w:rFonts w:ascii="Solpera" w:hAnsi="Solpera" w:cs="Arial"/>
          <w:bCs/>
        </w:rPr>
        <w:t>Další program je připraven v areálu Památníku a Návštěvnického a vzdělávacího centra. Návštěvníci si zde mohou prohlédnout dvě stálé expozice: Jan Žižka z</w:t>
      </w:r>
      <w:r w:rsidRPr="00081BAD">
        <w:rPr>
          <w:rFonts w:ascii="Calibri" w:hAnsi="Calibri" w:cs="Calibri"/>
          <w:bCs/>
        </w:rPr>
        <w:t> </w:t>
      </w:r>
      <w:r w:rsidRPr="00081BAD">
        <w:rPr>
          <w:rFonts w:ascii="Solpera" w:hAnsi="Solpera" w:cs="Arial"/>
          <w:bCs/>
        </w:rPr>
        <w:t>Trocnova, která představuje historii, život a působení husitského vojevůdce a Jan Žižka ve filmu, kde jsou prezentovány originální kostýmy herců z</w:t>
      </w:r>
      <w:r w:rsidRPr="00081BAD">
        <w:rPr>
          <w:rFonts w:ascii="Calibri" w:hAnsi="Calibri" w:cs="Calibri"/>
          <w:bCs/>
        </w:rPr>
        <w:t> </w:t>
      </w:r>
      <w:r w:rsidRPr="00081BAD">
        <w:rPr>
          <w:rFonts w:ascii="Solpera" w:hAnsi="Solpera" w:cs="Arial"/>
          <w:bCs/>
        </w:rPr>
        <w:t>filmu Jan Žižka od režiséra a producenta Petra Jákla, momentky ze zákulisí natáčení a nechybí ani interaktivní prvky.</w:t>
      </w:r>
      <w:r w:rsidR="00CC7213" w:rsidRPr="00081BAD">
        <w:rPr>
          <w:rFonts w:ascii="Solpera" w:hAnsi="Solpera" w:cs="Arial"/>
          <w:bCs/>
        </w:rPr>
        <w:t xml:space="preserve"> Rodiny s</w:t>
      </w:r>
      <w:r w:rsidR="00CC7213" w:rsidRPr="00081BAD">
        <w:rPr>
          <w:rFonts w:ascii="Calibri" w:hAnsi="Calibri" w:cs="Calibri"/>
          <w:bCs/>
        </w:rPr>
        <w:t> </w:t>
      </w:r>
      <w:r w:rsidR="00CC7213" w:rsidRPr="00081BAD">
        <w:rPr>
          <w:rFonts w:ascii="Solpera" w:hAnsi="Solpera" w:cs="Arial"/>
          <w:bCs/>
        </w:rPr>
        <w:t xml:space="preserve">dětmi jistě potěší novinka - </w:t>
      </w:r>
      <w:r w:rsidR="00CC7213" w:rsidRPr="00081BAD">
        <w:rPr>
          <w:rFonts w:ascii="Solpera" w:hAnsi="Solpera" w:cs="Arial"/>
          <w:bCs/>
        </w:rPr>
        <w:t>moderní dětské hřiště s lavičkami, které propojuje pohybovou aktivitu s historií. Herní prostor plně respektuje historický charakter lokality</w:t>
      </w:r>
      <w:r w:rsidR="00CC7213" w:rsidRPr="00081BAD">
        <w:rPr>
          <w:rFonts w:ascii="Solpera" w:hAnsi="Solpera" w:cs="Arial"/>
          <w:bCs/>
        </w:rPr>
        <w:t xml:space="preserve"> a n</w:t>
      </w:r>
      <w:r w:rsidR="00CC7213" w:rsidRPr="00081BAD">
        <w:rPr>
          <w:rFonts w:ascii="Solpera" w:hAnsi="Solpera" w:cs="Arial"/>
          <w:bCs/>
        </w:rPr>
        <w:t>ajdete zde celkem 13 herních prvků pro děti: např. model středověkého hradu, kanónu nebo vozu. Hřiště je navrženo tak, aby zabavilo široké spektrum návštěvníků – od dětí předškolního věku až po náctileté.</w:t>
      </w:r>
      <w:r w:rsidR="00F746B7" w:rsidRPr="00081BAD">
        <w:rPr>
          <w:rFonts w:ascii="Solpera" w:hAnsi="Solpera" w:cs="Arial"/>
          <w:bCs/>
        </w:rPr>
        <w:t xml:space="preserve"> Venkovní sad nabídne zábavné hry pro děti a v přednáškovém sále Návštěvnického a vzdělávací centra se můžete těšit na výrobu odznaků, dílnu mistra zbrojíře (výroba dýky z</w:t>
      </w:r>
      <w:r w:rsidR="00F746B7" w:rsidRPr="00081BAD">
        <w:rPr>
          <w:rFonts w:ascii="Calibri" w:hAnsi="Calibri" w:cs="Calibri"/>
          <w:bCs/>
        </w:rPr>
        <w:t> </w:t>
      </w:r>
      <w:r w:rsidR="00F746B7" w:rsidRPr="00081BAD">
        <w:rPr>
          <w:rFonts w:ascii="Solpera" w:hAnsi="Solpera" w:cs="Arial"/>
          <w:bCs/>
        </w:rPr>
        <w:t>papíru) nebo dílnu mistra zlatníka (výroba koruny s</w:t>
      </w:r>
      <w:r w:rsidR="00F746B7" w:rsidRPr="00081BAD">
        <w:rPr>
          <w:rFonts w:ascii="Calibri" w:hAnsi="Calibri" w:cs="Calibri"/>
          <w:bCs/>
        </w:rPr>
        <w:t> </w:t>
      </w:r>
      <w:r w:rsidR="00F746B7" w:rsidRPr="00081BAD">
        <w:rPr>
          <w:rFonts w:ascii="Solpera" w:hAnsi="Solpera" w:cs="Arial"/>
          <w:bCs/>
        </w:rPr>
        <w:t>barevnými drahokamy). Podium na dvoře centra v</w:t>
      </w:r>
      <w:r w:rsidR="00F746B7" w:rsidRPr="00081BAD">
        <w:rPr>
          <w:rFonts w:ascii="Calibri" w:hAnsi="Calibri" w:cs="Calibri"/>
          <w:bCs/>
        </w:rPr>
        <w:t> </w:t>
      </w:r>
      <w:r w:rsidR="00F746B7" w:rsidRPr="00081BAD">
        <w:rPr>
          <w:rFonts w:ascii="Solpera" w:hAnsi="Solpera" w:cs="Arial"/>
          <w:bCs/>
        </w:rPr>
        <w:t>sobotu nabídne také divadelní představení Klubíčka pohádek v</w:t>
      </w:r>
      <w:r w:rsidR="00F746B7" w:rsidRPr="00081BAD">
        <w:rPr>
          <w:rFonts w:ascii="Calibri" w:hAnsi="Calibri" w:cs="Calibri"/>
          <w:bCs/>
        </w:rPr>
        <w:t> </w:t>
      </w:r>
      <w:r w:rsidR="00F746B7" w:rsidRPr="00081BAD">
        <w:rPr>
          <w:rFonts w:ascii="Solpera" w:hAnsi="Solpera" w:cs="Arial"/>
          <w:bCs/>
        </w:rPr>
        <w:t>podání Marešovy divadelní společnosti.</w:t>
      </w:r>
    </w:p>
    <w:p w14:paraId="62263A2F" w14:textId="22D0761B" w:rsidR="004F6F8E" w:rsidRDefault="004F6F8E" w:rsidP="00403572">
      <w:pPr>
        <w:spacing w:line="360" w:lineRule="auto"/>
        <w:jc w:val="both"/>
        <w:rPr>
          <w:rFonts w:ascii="Solpera" w:hAnsi="Solpera" w:cs="Arial"/>
          <w:bCs/>
        </w:rPr>
      </w:pPr>
      <w:r>
        <w:rPr>
          <w:rFonts w:ascii="Solpera" w:hAnsi="Solpera" w:cs="Arial"/>
          <w:bCs/>
        </w:rPr>
        <w:t xml:space="preserve">Kompletní program, časový harmonogram akce a další informace najdete na novém webu </w:t>
      </w:r>
      <w:hyperlink r:id="rId7" w:history="1">
        <w:r w:rsidRPr="0003011A">
          <w:rPr>
            <w:rStyle w:val="Hypertextovodkaz"/>
            <w:rFonts w:ascii="Solpera" w:hAnsi="Solpera" w:cs="Arial"/>
            <w:bCs/>
          </w:rPr>
          <w:t>www.archeoskanze</w:t>
        </w:r>
        <w:r w:rsidRPr="0003011A">
          <w:rPr>
            <w:rStyle w:val="Hypertextovodkaz"/>
            <w:rFonts w:ascii="Solpera" w:hAnsi="Solpera" w:cs="Arial"/>
            <w:bCs/>
          </w:rPr>
          <w:t>n</w:t>
        </w:r>
        <w:r w:rsidRPr="0003011A">
          <w:rPr>
            <w:rStyle w:val="Hypertextovodkaz"/>
            <w:rFonts w:ascii="Solpera" w:hAnsi="Solpera" w:cs="Arial"/>
            <w:bCs/>
          </w:rPr>
          <w:t>trocnov.cz</w:t>
        </w:r>
      </w:hyperlink>
      <w:r>
        <w:rPr>
          <w:rFonts w:ascii="Solpera" w:hAnsi="Solpera" w:cs="Arial"/>
          <w:bCs/>
        </w:rPr>
        <w:t>.</w:t>
      </w:r>
    </w:p>
    <w:p w14:paraId="56BDC3B7" w14:textId="77777777" w:rsidR="00F232FE" w:rsidRPr="00F232FE" w:rsidRDefault="00F232FE" w:rsidP="00F232FE">
      <w:pPr>
        <w:spacing w:line="360" w:lineRule="auto"/>
        <w:jc w:val="both"/>
        <w:rPr>
          <w:rFonts w:ascii="Solpera" w:hAnsi="Solpera" w:cs="Arial"/>
          <w:bCs/>
        </w:rPr>
      </w:pPr>
      <w:r w:rsidRPr="00F232FE">
        <w:rPr>
          <w:rFonts w:ascii="Solpera" w:hAnsi="Solpera" w:cs="Arial"/>
          <w:bCs/>
        </w:rPr>
        <w:t>Pro návštěvníky je na akci zajištěno bezplatné parkování, prodej občerstvení a zdravotní dohled.</w:t>
      </w:r>
    </w:p>
    <w:p w14:paraId="4160E31E" w14:textId="1E7B5AB7" w:rsidR="00430617" w:rsidRPr="0075338B" w:rsidRDefault="00F232FE" w:rsidP="00403572">
      <w:pPr>
        <w:spacing w:line="360" w:lineRule="auto"/>
        <w:jc w:val="both"/>
        <w:rPr>
          <w:rFonts w:ascii="Solpera" w:hAnsi="Solpera" w:cs="Arial"/>
          <w:bCs/>
        </w:rPr>
      </w:pPr>
      <w:r w:rsidRPr="00F232FE">
        <w:rPr>
          <w:rFonts w:ascii="Solpera" w:hAnsi="Solpera" w:cs="Arial"/>
          <w:bCs/>
        </w:rPr>
        <w:t>Akce se koná ve spolupráci s Odborem kultury a památkové péče Jihočeského kraje.</w:t>
      </w:r>
    </w:p>
    <w:p w14:paraId="581FE748" w14:textId="44D88486" w:rsidR="00403572" w:rsidRPr="00081BAD" w:rsidRDefault="00403572" w:rsidP="00403572">
      <w:pPr>
        <w:spacing w:line="360" w:lineRule="auto"/>
        <w:jc w:val="both"/>
        <w:rPr>
          <w:rFonts w:ascii="Solpera" w:hAnsi="Solpera" w:cs="Arial"/>
          <w:b/>
        </w:rPr>
      </w:pPr>
      <w:r w:rsidRPr="00081BAD">
        <w:rPr>
          <w:rFonts w:ascii="Solpera" w:hAnsi="Solpera" w:cs="Arial"/>
          <w:b/>
        </w:rPr>
        <w:t>Tiskový kontakt</w:t>
      </w:r>
    </w:p>
    <w:p w14:paraId="71F836BE" w14:textId="77777777" w:rsidR="00403572" w:rsidRPr="00081BAD" w:rsidRDefault="00403572" w:rsidP="00403572">
      <w:pPr>
        <w:pStyle w:val="Odstavecseseznamem"/>
        <w:numPr>
          <w:ilvl w:val="0"/>
          <w:numId w:val="1"/>
        </w:numPr>
        <w:spacing w:after="0" w:line="360" w:lineRule="auto"/>
        <w:contextualSpacing w:val="0"/>
        <w:rPr>
          <w:rFonts w:ascii="Solpera" w:hAnsi="Solpera" w:cs="Arial"/>
        </w:rPr>
      </w:pPr>
      <w:r w:rsidRPr="00081BAD">
        <w:rPr>
          <w:rFonts w:ascii="Solpera" w:hAnsi="Solpera" w:cs="Arial"/>
          <w:b/>
          <w:bCs/>
        </w:rPr>
        <w:t>Mgr. Tomáš Svoboda</w:t>
      </w:r>
      <w:r w:rsidRPr="00081BAD">
        <w:rPr>
          <w:rFonts w:ascii="Solpera" w:hAnsi="Solpera" w:cs="Arial"/>
        </w:rPr>
        <w:t xml:space="preserve"> | Programové a propagační oddělení Jihočeského muzea v</w:t>
      </w:r>
      <w:r w:rsidRPr="00081BAD">
        <w:rPr>
          <w:rFonts w:ascii="Calibri" w:hAnsi="Calibri" w:cs="Calibri"/>
        </w:rPr>
        <w:t> </w:t>
      </w:r>
      <w:r w:rsidRPr="00081BAD">
        <w:rPr>
          <w:rFonts w:ascii="Solpera" w:hAnsi="Solpera" w:cs="Solpera"/>
        </w:rPr>
        <w:t>Č</w:t>
      </w:r>
      <w:r w:rsidRPr="00081BAD">
        <w:rPr>
          <w:rFonts w:ascii="Solpera" w:hAnsi="Solpera" w:cs="Arial"/>
        </w:rPr>
        <w:t>esk</w:t>
      </w:r>
      <w:r w:rsidRPr="00081BAD">
        <w:rPr>
          <w:rFonts w:ascii="Solpera" w:hAnsi="Solpera" w:cs="Solpera"/>
        </w:rPr>
        <w:t>ý</w:t>
      </w:r>
      <w:r w:rsidRPr="00081BAD">
        <w:rPr>
          <w:rFonts w:ascii="Solpera" w:hAnsi="Solpera" w:cs="Arial"/>
        </w:rPr>
        <w:t>ch Bud</w:t>
      </w:r>
      <w:r w:rsidRPr="00081BAD">
        <w:rPr>
          <w:rFonts w:ascii="Solpera" w:hAnsi="Solpera" w:cs="Solpera"/>
        </w:rPr>
        <w:t>ě</w:t>
      </w:r>
      <w:r w:rsidRPr="00081BAD">
        <w:rPr>
          <w:rFonts w:ascii="Solpera" w:hAnsi="Solpera" w:cs="Arial"/>
        </w:rPr>
        <w:t>jovic</w:t>
      </w:r>
      <w:r w:rsidRPr="00081BAD">
        <w:rPr>
          <w:rFonts w:ascii="Solpera" w:hAnsi="Solpera" w:cs="Solpera"/>
        </w:rPr>
        <w:t>í</w:t>
      </w:r>
      <w:r w:rsidRPr="00081BAD">
        <w:rPr>
          <w:rFonts w:ascii="Solpera" w:hAnsi="Solpera" w:cs="Arial"/>
        </w:rPr>
        <w:t xml:space="preserve">ch | tel.: +420 775 543 575 | +420 391 001 519 | e-mail: </w:t>
      </w:r>
      <w:hyperlink r:id="rId8" w:history="1">
        <w:r w:rsidRPr="00081BAD">
          <w:rPr>
            <w:rStyle w:val="Hypertextovodkaz"/>
            <w:rFonts w:ascii="Solpera" w:hAnsi="Solpera" w:cs="Arial"/>
          </w:rPr>
          <w:t>marketing@muzeumcb.cz</w:t>
        </w:r>
      </w:hyperlink>
      <w:r w:rsidRPr="00081BAD">
        <w:rPr>
          <w:rFonts w:ascii="Solpera" w:hAnsi="Solpera" w:cs="Arial"/>
        </w:rPr>
        <w:t>)</w:t>
      </w:r>
    </w:p>
    <w:p w14:paraId="24EE7410" w14:textId="77777777" w:rsidR="00403572" w:rsidRPr="00081BAD" w:rsidRDefault="00403572" w:rsidP="00403572">
      <w:pPr>
        <w:pStyle w:val="Odstavecseseznamem"/>
        <w:spacing w:after="0" w:line="360" w:lineRule="auto"/>
        <w:contextualSpacing w:val="0"/>
        <w:rPr>
          <w:rFonts w:ascii="Solpera" w:hAnsi="Solpera" w:cs="Arial"/>
        </w:rPr>
      </w:pPr>
    </w:p>
    <w:p w14:paraId="5AF8A7F2" w14:textId="5DB53C1A" w:rsidR="00403572" w:rsidRPr="00081BAD" w:rsidRDefault="00403572" w:rsidP="00403572">
      <w:pPr>
        <w:pStyle w:val="Odstavecseseznamem"/>
        <w:numPr>
          <w:ilvl w:val="0"/>
          <w:numId w:val="1"/>
        </w:numPr>
        <w:spacing w:line="360" w:lineRule="auto"/>
        <w:rPr>
          <w:rStyle w:val="Hypertextovodkaz"/>
          <w:rFonts w:ascii="Solpera" w:hAnsi="Solpera" w:cs="Arial"/>
          <w:color w:val="auto"/>
          <w:u w:val="none"/>
        </w:rPr>
      </w:pPr>
      <w:r w:rsidRPr="00081BAD">
        <w:rPr>
          <w:rFonts w:ascii="Solpera" w:hAnsi="Solpera" w:cs="Arial"/>
          <w:b/>
          <w:bCs/>
        </w:rPr>
        <w:t>Mgr. Lukáš Faktor</w:t>
      </w:r>
      <w:r w:rsidRPr="00081BAD">
        <w:rPr>
          <w:rFonts w:ascii="Solpera" w:hAnsi="Solpera" w:cs="Arial"/>
        </w:rPr>
        <w:t xml:space="preserve"> | Edukační oddělení Jihočeského muzea </w:t>
      </w:r>
      <w:r w:rsidR="00430617" w:rsidRPr="00081BAD">
        <w:rPr>
          <w:rFonts w:ascii="Solpera" w:hAnsi="Solpera" w:cs="Arial"/>
        </w:rPr>
        <w:t>v</w:t>
      </w:r>
      <w:r w:rsidR="00430617" w:rsidRPr="00081BAD">
        <w:rPr>
          <w:rFonts w:ascii="Calibri" w:hAnsi="Calibri" w:cs="Calibri"/>
        </w:rPr>
        <w:t> </w:t>
      </w:r>
      <w:r w:rsidR="00430617" w:rsidRPr="00081BAD">
        <w:rPr>
          <w:rFonts w:ascii="Solpera" w:hAnsi="Solpera" w:cs="Arial"/>
        </w:rPr>
        <w:t xml:space="preserve">Českých Budějovicích </w:t>
      </w:r>
      <w:r w:rsidRPr="00081BAD">
        <w:rPr>
          <w:rFonts w:ascii="Solpera" w:hAnsi="Solpera" w:cs="Arial"/>
        </w:rPr>
        <w:t xml:space="preserve">| tel.: +420 727 822 573 | +420 391 001 528 | e-mail: </w:t>
      </w:r>
      <w:hyperlink r:id="rId9" w:history="1">
        <w:r w:rsidRPr="00081BAD">
          <w:rPr>
            <w:rStyle w:val="Hypertextovodkaz"/>
            <w:rFonts w:ascii="Solpera" w:hAnsi="Solpera" w:cs="Arial"/>
          </w:rPr>
          <w:t>faktor@muzeumcb.cz</w:t>
        </w:r>
      </w:hyperlink>
    </w:p>
    <w:p w14:paraId="3EE437DC" w14:textId="77777777" w:rsidR="00403572" w:rsidRPr="00081BAD" w:rsidRDefault="00403572" w:rsidP="00403572">
      <w:pPr>
        <w:pStyle w:val="Odstavecseseznamem"/>
        <w:rPr>
          <w:rFonts w:ascii="Solpera" w:hAnsi="Solpera" w:cs="Arial"/>
        </w:rPr>
      </w:pPr>
    </w:p>
    <w:p w14:paraId="57295240" w14:textId="4C522025" w:rsidR="00041902" w:rsidRDefault="00403572" w:rsidP="00486124">
      <w:pPr>
        <w:pStyle w:val="Odstavecseseznamem"/>
        <w:numPr>
          <w:ilvl w:val="0"/>
          <w:numId w:val="1"/>
        </w:numPr>
        <w:spacing w:line="360" w:lineRule="auto"/>
        <w:rPr>
          <w:rFonts w:ascii="Solpera" w:hAnsi="Solpera" w:cs="Arial"/>
        </w:rPr>
      </w:pPr>
      <w:r w:rsidRPr="00081BAD">
        <w:rPr>
          <w:rFonts w:ascii="Solpera" w:hAnsi="Solpera" w:cs="Arial"/>
          <w:b/>
          <w:bCs/>
        </w:rPr>
        <w:t xml:space="preserve">Mgr. </w:t>
      </w:r>
      <w:r w:rsidRPr="00081BAD">
        <w:rPr>
          <w:rFonts w:ascii="Solpera" w:hAnsi="Solpera" w:cs="Arial"/>
          <w:b/>
          <w:bCs/>
        </w:rPr>
        <w:t>Miroslav Petrovský</w:t>
      </w:r>
      <w:r w:rsidR="00B43F51" w:rsidRPr="00081BAD">
        <w:rPr>
          <w:rFonts w:ascii="Solpera" w:hAnsi="Solpera" w:cs="Arial"/>
          <w:b/>
          <w:bCs/>
        </w:rPr>
        <w:t xml:space="preserve"> </w:t>
      </w:r>
      <w:r w:rsidR="00B43F51" w:rsidRPr="00081BAD">
        <w:rPr>
          <w:rFonts w:ascii="Solpera" w:hAnsi="Solpera" w:cs="Arial"/>
        </w:rPr>
        <w:t xml:space="preserve">| </w:t>
      </w:r>
      <w:r w:rsidR="00430617" w:rsidRPr="00081BAD">
        <w:rPr>
          <w:rFonts w:ascii="Solpera" w:hAnsi="Solpera" w:cs="Arial"/>
        </w:rPr>
        <w:t>S</w:t>
      </w:r>
      <w:r w:rsidR="00B43F51" w:rsidRPr="00081BAD">
        <w:rPr>
          <w:rFonts w:ascii="Solpera" w:hAnsi="Solpera" w:cs="Arial"/>
        </w:rPr>
        <w:t xml:space="preserve">právce areálu </w:t>
      </w:r>
      <w:r w:rsidR="00B43F51" w:rsidRPr="00081BAD">
        <w:rPr>
          <w:rFonts w:ascii="Solpera" w:hAnsi="Solpera" w:cs="Arial"/>
        </w:rPr>
        <w:t>Archeoskanzenu Trocnov</w:t>
      </w:r>
      <w:r w:rsidR="00430617" w:rsidRPr="00081BAD">
        <w:rPr>
          <w:rFonts w:ascii="Solpera" w:hAnsi="Solpera" w:cs="Arial"/>
        </w:rPr>
        <w:t xml:space="preserve"> | tel.: +420</w:t>
      </w:r>
      <w:r w:rsidR="00430617" w:rsidRPr="00081BAD">
        <w:rPr>
          <w:rFonts w:ascii="Calibri" w:hAnsi="Calibri" w:cs="Calibri"/>
        </w:rPr>
        <w:t> </w:t>
      </w:r>
      <w:r w:rsidR="00430617" w:rsidRPr="00081BAD">
        <w:rPr>
          <w:rFonts w:ascii="Solpera" w:hAnsi="Solpera" w:cs="Arial"/>
        </w:rPr>
        <w:t>721</w:t>
      </w:r>
      <w:r w:rsidR="00430617" w:rsidRPr="00081BAD">
        <w:rPr>
          <w:rFonts w:ascii="Calibri" w:hAnsi="Calibri" w:cs="Calibri"/>
        </w:rPr>
        <w:t> </w:t>
      </w:r>
      <w:r w:rsidR="00430617" w:rsidRPr="00081BAD">
        <w:rPr>
          <w:rFonts w:ascii="Solpera" w:hAnsi="Solpera" w:cs="Arial"/>
        </w:rPr>
        <w:t>786</w:t>
      </w:r>
      <w:r w:rsidR="00430617" w:rsidRPr="00081BAD">
        <w:rPr>
          <w:rFonts w:ascii="Calibri" w:hAnsi="Calibri" w:cs="Calibri"/>
        </w:rPr>
        <w:t> </w:t>
      </w:r>
      <w:r w:rsidR="00430617" w:rsidRPr="00081BAD">
        <w:rPr>
          <w:rFonts w:ascii="Solpera" w:hAnsi="Solpera" w:cs="Arial"/>
        </w:rPr>
        <w:t>143 | +420</w:t>
      </w:r>
      <w:r w:rsidR="00430617" w:rsidRPr="00081BAD">
        <w:rPr>
          <w:rFonts w:ascii="Calibri" w:hAnsi="Calibri" w:cs="Calibri"/>
        </w:rPr>
        <w:t> </w:t>
      </w:r>
      <w:r w:rsidR="00430617" w:rsidRPr="00081BAD">
        <w:rPr>
          <w:rFonts w:ascii="Solpera" w:hAnsi="Solpera" w:cs="Arial"/>
        </w:rPr>
        <w:t>391</w:t>
      </w:r>
      <w:r w:rsidR="00430617" w:rsidRPr="00081BAD">
        <w:rPr>
          <w:rFonts w:ascii="Calibri" w:hAnsi="Calibri" w:cs="Calibri"/>
        </w:rPr>
        <w:t> </w:t>
      </w:r>
      <w:r w:rsidR="00430617" w:rsidRPr="00081BAD">
        <w:rPr>
          <w:rFonts w:ascii="Solpera" w:hAnsi="Solpera" w:cs="Arial"/>
        </w:rPr>
        <w:t>001</w:t>
      </w:r>
      <w:r w:rsidR="00430617" w:rsidRPr="00081BAD">
        <w:rPr>
          <w:rFonts w:ascii="Calibri" w:hAnsi="Calibri" w:cs="Calibri"/>
        </w:rPr>
        <w:t> </w:t>
      </w:r>
      <w:r w:rsidR="00430617" w:rsidRPr="00081BAD">
        <w:rPr>
          <w:rFonts w:ascii="Solpera" w:hAnsi="Solpera" w:cs="Arial"/>
        </w:rPr>
        <w:t xml:space="preserve">511 | e-mail: </w:t>
      </w:r>
      <w:hyperlink r:id="rId10" w:history="1">
        <w:r w:rsidR="00430617" w:rsidRPr="00081BAD">
          <w:rPr>
            <w:rStyle w:val="Hypertextovodkaz"/>
            <w:rFonts w:ascii="Solpera" w:hAnsi="Solpera" w:cs="Arial"/>
          </w:rPr>
          <w:t>petrovsky@muzeumcb.cz</w:t>
        </w:r>
      </w:hyperlink>
    </w:p>
    <w:p w14:paraId="181CC277" w14:textId="642704DD" w:rsidR="0075338B" w:rsidRDefault="0075338B" w:rsidP="0075338B">
      <w:pPr>
        <w:rPr>
          <w:rFonts w:ascii="Solpera" w:hAnsi="Solpera"/>
          <w:b/>
          <w:bCs/>
        </w:rPr>
      </w:pPr>
      <w:r w:rsidRPr="0075338B">
        <w:rPr>
          <w:rFonts w:ascii="Solpera" w:hAnsi="Solpera"/>
          <w:b/>
          <w:bCs/>
        </w:rPr>
        <w:t>Odkazy</w:t>
      </w:r>
    </w:p>
    <w:p w14:paraId="68D94DC8" w14:textId="274B528A" w:rsidR="0075338B" w:rsidRPr="0075338B" w:rsidRDefault="0075338B" w:rsidP="0075338B">
      <w:pPr>
        <w:pStyle w:val="Odstavecseseznamem"/>
        <w:numPr>
          <w:ilvl w:val="0"/>
          <w:numId w:val="3"/>
        </w:numPr>
        <w:rPr>
          <w:rFonts w:ascii="Solpera" w:hAnsi="Solpera"/>
        </w:rPr>
      </w:pPr>
      <w:hyperlink r:id="rId11" w:history="1">
        <w:r w:rsidRPr="0075338B">
          <w:rPr>
            <w:rStyle w:val="Hypertextovodkaz"/>
            <w:rFonts w:ascii="Solpera" w:hAnsi="Solpera"/>
          </w:rPr>
          <w:t>https://www.archeoskanzentrocnov.cz/cs/akce/8-trocnovske-slavnosti-2026</w:t>
        </w:r>
      </w:hyperlink>
      <w:r w:rsidRPr="0075338B">
        <w:rPr>
          <w:rFonts w:ascii="Solpera" w:hAnsi="Solpera"/>
        </w:rPr>
        <w:t xml:space="preserve"> </w:t>
      </w:r>
    </w:p>
    <w:sectPr w:rsidR="0075338B" w:rsidRPr="0075338B" w:rsidSect="00863239">
      <w:headerReference w:type="default" r:id="rId12"/>
      <w:footerReference w:type="default" r:id="rId13"/>
      <w:pgSz w:w="11906" w:h="16838"/>
      <w:pgMar w:top="142" w:right="991" w:bottom="568" w:left="1134" w:header="1191" w:footer="119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70C4A1" w14:textId="77777777" w:rsidR="00074AF5" w:rsidRDefault="00074AF5" w:rsidP="00074AF5">
      <w:pPr>
        <w:spacing w:after="0" w:line="240" w:lineRule="auto"/>
      </w:pPr>
      <w:r>
        <w:separator/>
      </w:r>
    </w:p>
  </w:endnote>
  <w:endnote w:type="continuationSeparator" w:id="0">
    <w:p w14:paraId="4BA1E7AF" w14:textId="77777777" w:rsidR="00074AF5" w:rsidRDefault="00074AF5" w:rsidP="00074A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olpera">
    <w:panose1 w:val="02000503060000020004"/>
    <w:charset w:val="00"/>
    <w:family w:val="modern"/>
    <w:notTrueType/>
    <w:pitch w:val="variable"/>
    <w:sig w:usb0="800000AF" w:usb1="5000004A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C64C98" w14:textId="19FBABC8" w:rsidR="00074AF5" w:rsidRDefault="00074AF5">
    <w:pPr>
      <w:pStyle w:val="Zpat"/>
    </w:pPr>
    <w:r>
      <w:rPr>
        <w:noProof/>
        <w14:ligatures w14:val="standardContextual"/>
      </w:rPr>
      <w:drawing>
        <wp:anchor distT="0" distB="0" distL="114300" distR="114300" simplePos="0" relativeHeight="251662336" behindDoc="1" locked="0" layoutInCell="1" allowOverlap="1" wp14:anchorId="66F9E009" wp14:editId="72E368A4">
          <wp:simplePos x="0" y="0"/>
          <wp:positionH relativeFrom="page">
            <wp:align>center</wp:align>
          </wp:positionH>
          <wp:positionV relativeFrom="paragraph">
            <wp:posOffset>179070</wp:posOffset>
          </wp:positionV>
          <wp:extent cx="1733550" cy="466725"/>
          <wp:effectExtent l="0" t="0" r="0" b="9525"/>
          <wp:wrapTight wrapText="bothSides">
            <wp:wrapPolygon edited="0">
              <wp:start x="0" y="0"/>
              <wp:lineTo x="0" y="21159"/>
              <wp:lineTo x="21363" y="21159"/>
              <wp:lineTo x="21363" y="0"/>
              <wp:lineTo x="0" y="0"/>
            </wp:wrapPolygon>
          </wp:wrapTight>
          <wp:docPr id="10" name="Obrázek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Obrázek 1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33550" cy="4667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69D365" w14:textId="77777777" w:rsidR="00074AF5" w:rsidRDefault="00074AF5" w:rsidP="00074AF5">
      <w:pPr>
        <w:spacing w:after="0" w:line="240" w:lineRule="auto"/>
      </w:pPr>
      <w:r>
        <w:separator/>
      </w:r>
    </w:p>
  </w:footnote>
  <w:footnote w:type="continuationSeparator" w:id="0">
    <w:p w14:paraId="42F17315" w14:textId="77777777" w:rsidR="00074AF5" w:rsidRDefault="00074AF5" w:rsidP="00074A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30921A" w14:textId="77777777" w:rsidR="006A0929" w:rsidRDefault="006A0929">
    <w:pPr>
      <w:pStyle w:val="Zhlav"/>
    </w:pPr>
    <w:r>
      <w:rPr>
        <w:noProof/>
        <w14:ligatures w14:val="standardContextual"/>
      </w:rPr>
      <w:drawing>
        <wp:anchor distT="0" distB="0" distL="114300" distR="114300" simplePos="0" relativeHeight="251661312" behindDoc="0" locked="0" layoutInCell="1" allowOverlap="1" wp14:anchorId="3BD2A2ED" wp14:editId="1AC12296">
          <wp:simplePos x="0" y="0"/>
          <wp:positionH relativeFrom="margin">
            <wp:align>left</wp:align>
          </wp:positionH>
          <wp:positionV relativeFrom="paragraph">
            <wp:posOffset>-575310</wp:posOffset>
          </wp:positionV>
          <wp:extent cx="695325" cy="695325"/>
          <wp:effectExtent l="0" t="0" r="9525" b="9525"/>
          <wp:wrapThrough wrapText="bothSides">
            <wp:wrapPolygon edited="0">
              <wp:start x="9468" y="0"/>
              <wp:lineTo x="5326" y="1184"/>
              <wp:lineTo x="0" y="6510"/>
              <wp:lineTo x="0" y="13611"/>
              <wp:lineTo x="3551" y="19529"/>
              <wp:lineTo x="8285" y="21304"/>
              <wp:lineTo x="13019" y="21304"/>
              <wp:lineTo x="17753" y="19529"/>
              <wp:lineTo x="21304" y="13611"/>
              <wp:lineTo x="21304" y="6510"/>
              <wp:lineTo x="15978" y="1184"/>
              <wp:lineTo x="11836" y="0"/>
              <wp:lineTo x="9468" y="0"/>
            </wp:wrapPolygon>
          </wp:wrapThrough>
          <wp:docPr id="7" name="Obrázek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ázek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5325" cy="6953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14:ligatures w14:val="standardContextual"/>
      </w:rPr>
      <w:drawing>
        <wp:anchor distT="0" distB="0" distL="114300" distR="114300" simplePos="0" relativeHeight="251660288" behindDoc="0" locked="0" layoutInCell="1" allowOverlap="1" wp14:anchorId="7E5888B7" wp14:editId="2581C579">
          <wp:simplePos x="0" y="0"/>
          <wp:positionH relativeFrom="margin">
            <wp:align>right</wp:align>
          </wp:positionH>
          <wp:positionV relativeFrom="paragraph">
            <wp:posOffset>-489585</wp:posOffset>
          </wp:positionV>
          <wp:extent cx="1068070" cy="467360"/>
          <wp:effectExtent l="0" t="0" r="0" b="8890"/>
          <wp:wrapThrough wrapText="bothSides">
            <wp:wrapPolygon edited="0">
              <wp:start x="0" y="0"/>
              <wp:lineTo x="0" y="21130"/>
              <wp:lineTo x="21189" y="21130"/>
              <wp:lineTo x="21189" y="0"/>
              <wp:lineTo x="0" y="0"/>
            </wp:wrapPolygon>
          </wp:wrapThrough>
          <wp:docPr id="8" name="Obrázek 8" descr="Obsah obrázku text, Písmo, design, typograf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Obrázek 6" descr="Obsah obrázku text, Písmo, design, typografie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8070" cy="4673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14:ligatures w14:val="standardContextual"/>
      </w:rPr>
      <w:drawing>
        <wp:anchor distT="0" distB="0" distL="114300" distR="114300" simplePos="0" relativeHeight="251659264" behindDoc="0" locked="0" layoutInCell="1" allowOverlap="1" wp14:anchorId="7E81897F" wp14:editId="4A84C579">
          <wp:simplePos x="0" y="0"/>
          <wp:positionH relativeFrom="page">
            <wp:align>center</wp:align>
          </wp:positionH>
          <wp:positionV relativeFrom="paragraph">
            <wp:posOffset>-413385</wp:posOffset>
          </wp:positionV>
          <wp:extent cx="1847850" cy="338455"/>
          <wp:effectExtent l="0" t="0" r="0" b="4445"/>
          <wp:wrapThrough wrapText="bothSides">
            <wp:wrapPolygon edited="0">
              <wp:start x="0" y="0"/>
              <wp:lineTo x="0" y="20668"/>
              <wp:lineTo x="21377" y="20668"/>
              <wp:lineTo x="21377" y="0"/>
              <wp:lineTo x="0" y="0"/>
            </wp:wrapPolygon>
          </wp:wrapThrough>
          <wp:docPr id="9" name="Obrázek 9" descr="Obsah obrázku Písmo, bílé, text, typografie&#10;&#10;Obsah vygenerovaný umělou inteligencí může být nesprávný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ázek 4" descr="Obsah obrázku Písmo, bílé, text, typografie&#10;&#10;Obsah vygenerovaný umělou inteligencí může být nesprávný.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7850" cy="3384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7C1B12"/>
    <w:multiLevelType w:val="hybridMultilevel"/>
    <w:tmpl w:val="5B149C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C6C31A9"/>
    <w:multiLevelType w:val="hybridMultilevel"/>
    <w:tmpl w:val="C78A82F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46E6C22"/>
    <w:multiLevelType w:val="hybridMultilevel"/>
    <w:tmpl w:val="385A43E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10576874">
    <w:abstractNumId w:val="2"/>
  </w:num>
  <w:num w:numId="2" w16cid:durableId="105849729">
    <w:abstractNumId w:val="1"/>
  </w:num>
  <w:num w:numId="3" w16cid:durableId="20419339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3572"/>
    <w:rsid w:val="00041902"/>
    <w:rsid w:val="00074AF5"/>
    <w:rsid w:val="00081BAD"/>
    <w:rsid w:val="001B43F0"/>
    <w:rsid w:val="00403572"/>
    <w:rsid w:val="00430617"/>
    <w:rsid w:val="00486124"/>
    <w:rsid w:val="004F6F8E"/>
    <w:rsid w:val="005955B5"/>
    <w:rsid w:val="006A0929"/>
    <w:rsid w:val="0075338B"/>
    <w:rsid w:val="00863239"/>
    <w:rsid w:val="009D6FBC"/>
    <w:rsid w:val="00B43F51"/>
    <w:rsid w:val="00CC7213"/>
    <w:rsid w:val="00F232FE"/>
    <w:rsid w:val="00F746B7"/>
    <w:rsid w:val="00FA15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C26C684"/>
  <w15:chartTrackingRefBased/>
  <w15:docId w15:val="{643AE605-3F8D-4FF6-AB7C-24024B405C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403572"/>
    <w:pPr>
      <w:spacing w:after="200" w:line="276" w:lineRule="auto"/>
    </w:pPr>
    <w:rPr>
      <w:kern w:val="0"/>
      <w:sz w:val="22"/>
      <w:szCs w:val="22"/>
      <w14:ligatures w14:val="none"/>
    </w:rPr>
  </w:style>
  <w:style w:type="paragraph" w:styleId="Nadpis1">
    <w:name w:val="heading 1"/>
    <w:basedOn w:val="Normln"/>
    <w:next w:val="Normln"/>
    <w:link w:val="Nadpis1Char"/>
    <w:uiPriority w:val="9"/>
    <w:qFormat/>
    <w:rsid w:val="0040357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40357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40357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40357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40357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40357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40357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40357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40357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40357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40357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40357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403572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403572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403572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403572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403572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403572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40357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40357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40357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40357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40357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403572"/>
    <w:rPr>
      <w:i/>
      <w:iCs/>
      <w:color w:val="404040" w:themeColor="text1" w:themeTint="BF"/>
    </w:rPr>
  </w:style>
  <w:style w:type="paragraph" w:styleId="Odstavecseseznamem">
    <w:name w:val="List Paragraph"/>
    <w:aliases w:val="Datum_,Nad,List Paragraph,Odstavec_muj,Odstavec cíl se seznamem,Odstavec se seznamem5"/>
    <w:basedOn w:val="Normln"/>
    <w:link w:val="OdstavecseseznamemChar"/>
    <w:uiPriority w:val="34"/>
    <w:qFormat/>
    <w:rsid w:val="00403572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403572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40357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403572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403572"/>
    <w:rPr>
      <w:b/>
      <w:bCs/>
      <w:smallCaps/>
      <w:color w:val="0F4761" w:themeColor="accent1" w:themeShade="BF"/>
      <w:spacing w:val="5"/>
    </w:rPr>
  </w:style>
  <w:style w:type="character" w:styleId="Hypertextovodkaz">
    <w:name w:val="Hyperlink"/>
    <w:basedOn w:val="Standardnpsmoodstavce"/>
    <w:uiPriority w:val="99"/>
    <w:unhideWhenUsed/>
    <w:rsid w:val="00403572"/>
    <w:rPr>
      <w:color w:val="467886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40357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03572"/>
    <w:rPr>
      <w:kern w:val="0"/>
      <w:sz w:val="22"/>
      <w:szCs w:val="22"/>
      <w14:ligatures w14:val="none"/>
    </w:rPr>
  </w:style>
  <w:style w:type="character" w:customStyle="1" w:styleId="OdstavecseseznamemChar">
    <w:name w:val="Odstavec se seznamem Char"/>
    <w:aliases w:val="Datum_ Char,Nad Char,List Paragraph Char,Odstavec_muj Char,Odstavec cíl se seznamem Char,Odstavec se seznamem5 Char"/>
    <w:link w:val="Odstavecseseznamem"/>
    <w:uiPriority w:val="34"/>
    <w:rsid w:val="00403572"/>
  </w:style>
  <w:style w:type="character" w:styleId="Nevyeenzmnka">
    <w:name w:val="Unresolved Mention"/>
    <w:basedOn w:val="Standardnpsmoodstavce"/>
    <w:uiPriority w:val="99"/>
    <w:semiHidden/>
    <w:unhideWhenUsed/>
    <w:rsid w:val="00430617"/>
    <w:rPr>
      <w:color w:val="605E5C"/>
      <w:shd w:val="clear" w:color="auto" w:fill="E1DFDD"/>
    </w:rPr>
  </w:style>
  <w:style w:type="paragraph" w:styleId="Zpat">
    <w:name w:val="footer"/>
    <w:basedOn w:val="Normln"/>
    <w:link w:val="ZpatChar"/>
    <w:uiPriority w:val="99"/>
    <w:unhideWhenUsed/>
    <w:rsid w:val="00074A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74AF5"/>
    <w:rPr>
      <w:kern w:val="0"/>
      <w:sz w:val="22"/>
      <w:szCs w:val="22"/>
      <w14:ligatures w14:val="none"/>
    </w:rPr>
  </w:style>
  <w:style w:type="character" w:styleId="Sledovanodkaz">
    <w:name w:val="FollowedHyperlink"/>
    <w:basedOn w:val="Standardnpsmoodstavce"/>
    <w:uiPriority w:val="99"/>
    <w:semiHidden/>
    <w:unhideWhenUsed/>
    <w:rsid w:val="004F6F8E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rketing@muzeumcb.cz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archeoskanzentrocnov.cz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archeoskanzentrocnov.cz/cs/akce/8-trocnovske-slavnosti-2026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mailto:petrovsky@muzeumcb.cz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faktor@muzeumcb.cz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2</Pages>
  <Words>841</Words>
  <Characters>4964</Characters>
  <Application>Microsoft Office Word</Application>
  <DocSecurity>0</DocSecurity>
  <Lines>41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Jihoceske muzeum</Company>
  <LinksUpToDate>false</LinksUpToDate>
  <CharactersWithSpaces>5794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Tomáš Svoboda</dc:creator>
  <cp:keywords/>
  <dc:description/>
  <cp:lastModifiedBy>Tomáš Svoboda</cp:lastModifiedBy>
  <cp:revision>8</cp:revision>
  <dcterms:created xsi:type="dcterms:W3CDTF">2026-08-24T06:42:00Z</dcterms:created>
  <dcterms:modified xsi:type="dcterms:W3CDTF">2026-08-24T09:07:00Z</dcterms:modified>
</cp:coreProperties>
</file>